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AFCF0" w14:textId="77777777" w:rsidR="00FA2FFC" w:rsidRPr="00172E83" w:rsidRDefault="00FA2FFC">
      <w:pPr>
        <w:pStyle w:val="Padro"/>
        <w:rPr>
          <w:color w:val="000000" w:themeColor="text1"/>
        </w:rPr>
      </w:pPr>
      <w:bookmarkStart w:id="0" w:name="_GoBack"/>
      <w:bookmarkEnd w:id="0"/>
    </w:p>
    <w:p w14:paraId="35B65323" w14:textId="2A2EAC96" w:rsidR="00FA2FFC" w:rsidRPr="00172E83" w:rsidRDefault="00D757F7" w:rsidP="00867C66">
      <w:pPr>
        <w:pStyle w:val="Titel"/>
        <w:rPr>
          <w:color w:val="000000" w:themeColor="text1"/>
          <w:lang w:val="en-US"/>
        </w:rPr>
      </w:pPr>
      <w:r w:rsidRPr="00172E83">
        <w:rPr>
          <w:color w:val="000000" w:themeColor="text1"/>
          <w:lang w:val="en-US"/>
        </w:rPr>
        <w:t xml:space="preserve">Capital account regulation as part of the macroeconomic regime: </w:t>
      </w:r>
      <w:r w:rsidRPr="00172E83">
        <w:rPr>
          <w:color w:val="000000" w:themeColor="text1"/>
          <w:lang w:val="en-US"/>
        </w:rPr>
        <w:br/>
        <w:t>Comparing Brazil in the 1990s and 2000s</w:t>
      </w:r>
      <w:r w:rsidR="006D09DE">
        <w:rPr>
          <w:rStyle w:val="Funotenzeichen"/>
          <w:color w:val="000000" w:themeColor="text1"/>
          <w:lang w:val="en-US"/>
        </w:rPr>
        <w:footnoteReference w:id="1"/>
      </w:r>
    </w:p>
    <w:p w14:paraId="539C28CD" w14:textId="77777777" w:rsidR="00EF54C6" w:rsidRDefault="00EF54C6" w:rsidP="00EF54C6">
      <w:pPr>
        <w:rPr>
          <w:color w:val="000000" w:themeColor="text1"/>
          <w:lang w:val="en-US"/>
        </w:rPr>
      </w:pPr>
    </w:p>
    <w:p w14:paraId="71D3FDB2" w14:textId="7D7781C7" w:rsidR="00EB38C0" w:rsidRPr="00EB38C0" w:rsidRDefault="00EB38C0" w:rsidP="00EB38C0">
      <w:pPr>
        <w:jc w:val="right"/>
        <w:rPr>
          <w:color w:val="000000" w:themeColor="text1"/>
        </w:rPr>
      </w:pPr>
      <w:r w:rsidRPr="00832BAC">
        <w:rPr>
          <w:rFonts w:ascii="Times New Roman" w:hAnsi="Times New Roman" w:cs="Times New Roman"/>
          <w:sz w:val="28"/>
          <w:szCs w:val="24"/>
        </w:rPr>
        <w:t>Barbara Fritz</w:t>
      </w:r>
      <w:r>
        <w:rPr>
          <w:rStyle w:val="Funotenzeichen"/>
          <w:rFonts w:ascii="Times New Roman" w:hAnsi="Times New Roman"/>
          <w:sz w:val="28"/>
          <w:szCs w:val="24"/>
        </w:rPr>
        <w:t xml:space="preserve"> </w:t>
      </w:r>
      <w:r>
        <w:rPr>
          <w:rStyle w:val="Funotenzeichen"/>
          <w:rFonts w:ascii="Times New Roman" w:hAnsi="Times New Roman"/>
          <w:sz w:val="28"/>
          <w:szCs w:val="24"/>
        </w:rPr>
        <w:footnoteReference w:customMarkFollows="1" w:id="2"/>
        <w:t>*</w:t>
      </w:r>
      <w:r>
        <w:rPr>
          <w:rFonts w:ascii="Times New Roman" w:hAnsi="Times New Roman" w:cs="Times New Roman"/>
          <w:sz w:val="28"/>
          <w:szCs w:val="24"/>
        </w:rPr>
        <w:t xml:space="preserve"> and </w:t>
      </w:r>
      <w:r w:rsidRPr="00832BAC">
        <w:rPr>
          <w:rFonts w:ascii="Times New Roman" w:hAnsi="Times New Roman" w:cs="Times New Roman"/>
          <w:sz w:val="28"/>
          <w:szCs w:val="24"/>
        </w:rPr>
        <w:t>Daniela M</w:t>
      </w:r>
      <w:r>
        <w:rPr>
          <w:rFonts w:ascii="Times New Roman" w:hAnsi="Times New Roman" w:cs="Times New Roman"/>
          <w:sz w:val="28"/>
          <w:szCs w:val="24"/>
        </w:rPr>
        <w:t xml:space="preserve">agalhães </w:t>
      </w:r>
      <w:r w:rsidRPr="00832BAC">
        <w:rPr>
          <w:rFonts w:ascii="Times New Roman" w:hAnsi="Times New Roman" w:cs="Times New Roman"/>
          <w:sz w:val="28"/>
          <w:szCs w:val="24"/>
        </w:rPr>
        <w:t>Prates</w:t>
      </w:r>
      <w:r>
        <w:rPr>
          <w:rStyle w:val="Funotenzeichen"/>
          <w:rFonts w:ascii="Times New Roman" w:hAnsi="Times New Roman"/>
          <w:sz w:val="28"/>
          <w:szCs w:val="24"/>
        </w:rPr>
        <w:t xml:space="preserve"> </w:t>
      </w:r>
      <w:r>
        <w:rPr>
          <w:rStyle w:val="Funotenzeichen"/>
          <w:rFonts w:ascii="Times New Roman" w:hAnsi="Times New Roman"/>
          <w:sz w:val="28"/>
          <w:szCs w:val="24"/>
        </w:rPr>
        <w:footnoteReference w:customMarkFollows="1" w:id="3"/>
        <w:t>**</w:t>
      </w:r>
    </w:p>
    <w:p w14:paraId="28D629F9" w14:textId="77777777" w:rsidR="00FA2FFC" w:rsidRPr="006D09DE" w:rsidRDefault="00D757F7" w:rsidP="00EF54C6">
      <w:pPr>
        <w:pStyle w:val="berschrift3"/>
        <w:rPr>
          <w:b/>
          <w:color w:val="000000" w:themeColor="text1"/>
          <w:sz w:val="28"/>
          <w:lang w:val="en-US"/>
        </w:rPr>
      </w:pPr>
      <w:r w:rsidRPr="006D09DE">
        <w:rPr>
          <w:b/>
          <w:color w:val="000000" w:themeColor="text1"/>
          <w:lang w:val="en-US"/>
        </w:rPr>
        <w:t>Abstract</w:t>
      </w:r>
      <w:r w:rsidR="005A7AF4" w:rsidRPr="006D09DE">
        <w:rPr>
          <w:b/>
          <w:color w:val="000000" w:themeColor="text1"/>
          <w:lang w:val="en-US"/>
        </w:rPr>
        <w:t xml:space="preserve"> </w:t>
      </w:r>
    </w:p>
    <w:p w14:paraId="3B1505B5" w14:textId="77777777" w:rsidR="008917A7" w:rsidRPr="00172E83" w:rsidRDefault="00314D49" w:rsidP="00E45B0A">
      <w:pPr>
        <w:pStyle w:val="Padro"/>
        <w:spacing w:after="0" w:line="100" w:lineRule="atLeast"/>
        <w:jc w:val="both"/>
        <w:rPr>
          <w:rFonts w:ascii="Calibri" w:hAnsi="Calibri"/>
          <w:color w:val="000000" w:themeColor="text1"/>
          <w:sz w:val="22"/>
          <w:szCs w:val="22"/>
          <w:u w:val="single"/>
          <w:lang w:val="en-GB"/>
        </w:rPr>
      </w:pPr>
      <w:r w:rsidRPr="00172E83">
        <w:rPr>
          <w:rFonts w:ascii="Calibri" w:hAnsi="Calibri"/>
          <w:color w:val="000000" w:themeColor="text1"/>
          <w:sz w:val="22"/>
          <w:szCs w:val="22"/>
          <w:lang w:val="en-US"/>
        </w:rPr>
        <w:t xml:space="preserve">Capital account regulation (CAR) has </w:t>
      </w:r>
      <w:r w:rsidR="0098199F" w:rsidRPr="00172E83">
        <w:rPr>
          <w:rFonts w:ascii="Calibri" w:hAnsi="Calibri"/>
          <w:color w:val="000000" w:themeColor="text1"/>
          <w:sz w:val="22"/>
          <w:szCs w:val="22"/>
          <w:lang w:val="en-US"/>
        </w:rPr>
        <w:t xml:space="preserve">experienced profound reconsideration </w:t>
      </w:r>
      <w:r w:rsidRPr="00172E83">
        <w:rPr>
          <w:rFonts w:ascii="Calibri" w:hAnsi="Calibri"/>
          <w:color w:val="000000" w:themeColor="text1"/>
          <w:sz w:val="22"/>
          <w:szCs w:val="22"/>
          <w:lang w:val="en-US"/>
        </w:rPr>
        <w:t xml:space="preserve">since the global financial crisis. </w:t>
      </w:r>
      <w:r w:rsidR="0043377E" w:rsidRPr="00172E83">
        <w:rPr>
          <w:rFonts w:ascii="Calibri" w:hAnsi="Calibri"/>
          <w:color w:val="000000" w:themeColor="text1"/>
          <w:sz w:val="22"/>
          <w:szCs w:val="22"/>
          <w:lang w:val="en-US"/>
        </w:rPr>
        <w:t>This new debate</w:t>
      </w:r>
      <w:r w:rsidR="00551F77" w:rsidRPr="00172E83">
        <w:rPr>
          <w:rFonts w:ascii="Calibri" w:hAnsi="Calibri"/>
          <w:color w:val="000000" w:themeColor="text1"/>
          <w:sz w:val="22"/>
          <w:szCs w:val="22"/>
          <w:lang w:val="en-US"/>
        </w:rPr>
        <w:t xml:space="preserve"> focuses on the macroeconomic gains of regulating international capital flows in terms of reducing external and financial vulnerability, but it </w:t>
      </w:r>
      <w:r w:rsidR="0043377E" w:rsidRPr="00172E83">
        <w:rPr>
          <w:rFonts w:ascii="Calibri" w:hAnsi="Calibri"/>
          <w:color w:val="000000" w:themeColor="text1"/>
          <w:sz w:val="22"/>
          <w:szCs w:val="22"/>
          <w:lang w:val="en-US"/>
        </w:rPr>
        <w:t>does</w:t>
      </w:r>
      <w:r w:rsidR="00125A14" w:rsidRPr="00172E83">
        <w:rPr>
          <w:rFonts w:ascii="Calibri" w:hAnsi="Calibri"/>
          <w:color w:val="000000" w:themeColor="text1"/>
          <w:sz w:val="22"/>
          <w:szCs w:val="22"/>
          <w:lang w:val="en-US"/>
        </w:rPr>
        <w:t xml:space="preserve"> not consider relevant aspects relating the context in which these regulations are implemented. In this paper, we undertake a </w:t>
      </w:r>
      <w:r w:rsidR="00232053" w:rsidRPr="00172E83">
        <w:rPr>
          <w:rFonts w:ascii="Calibri" w:hAnsi="Calibri"/>
          <w:color w:val="000000" w:themeColor="text1"/>
          <w:sz w:val="22"/>
          <w:szCs w:val="22"/>
          <w:lang w:val="en-US"/>
        </w:rPr>
        <w:t>comparative analysis of similar type</w:t>
      </w:r>
      <w:r w:rsidR="00125A14" w:rsidRPr="00172E83">
        <w:rPr>
          <w:rFonts w:ascii="Calibri" w:hAnsi="Calibri"/>
          <w:color w:val="000000" w:themeColor="text1"/>
          <w:sz w:val="22"/>
          <w:szCs w:val="22"/>
          <w:lang w:val="en-US"/>
        </w:rPr>
        <w:t>s</w:t>
      </w:r>
      <w:r w:rsidR="00232053" w:rsidRPr="00172E83">
        <w:rPr>
          <w:rFonts w:ascii="Calibri" w:hAnsi="Calibri"/>
          <w:color w:val="000000" w:themeColor="text1"/>
          <w:sz w:val="22"/>
          <w:szCs w:val="22"/>
          <w:lang w:val="en-US"/>
        </w:rPr>
        <w:t xml:space="preserve"> of CAR </w:t>
      </w:r>
      <w:r w:rsidR="00125A14" w:rsidRPr="00172E83">
        <w:rPr>
          <w:rFonts w:ascii="Calibri" w:hAnsi="Calibri"/>
          <w:color w:val="000000" w:themeColor="text1"/>
          <w:sz w:val="22"/>
          <w:szCs w:val="22"/>
          <w:lang w:val="en-US"/>
        </w:rPr>
        <w:t xml:space="preserve">applied in Brazil </w:t>
      </w:r>
      <w:r w:rsidR="00232053" w:rsidRPr="00172E83">
        <w:rPr>
          <w:rFonts w:ascii="Calibri" w:hAnsi="Calibri"/>
          <w:color w:val="000000" w:themeColor="text1"/>
          <w:sz w:val="22"/>
          <w:szCs w:val="22"/>
          <w:lang w:val="en-US"/>
        </w:rPr>
        <w:t>during the 1990s and the 2000s</w:t>
      </w:r>
      <w:r w:rsidR="00125A14" w:rsidRPr="00172E83">
        <w:rPr>
          <w:rFonts w:ascii="Calibri" w:hAnsi="Calibri"/>
          <w:color w:val="000000" w:themeColor="text1"/>
          <w:sz w:val="22"/>
          <w:szCs w:val="22"/>
          <w:lang w:val="en-US"/>
        </w:rPr>
        <w:t>. Based on this analysis, we conclude that for the design of CAR,</w:t>
      </w:r>
      <w:r w:rsidR="00C06DB3" w:rsidRPr="00172E83">
        <w:rPr>
          <w:rFonts w:ascii="Calibri" w:hAnsi="Calibri"/>
          <w:color w:val="000000" w:themeColor="text1"/>
          <w:sz w:val="22"/>
          <w:szCs w:val="22"/>
          <w:lang w:val="en-US"/>
        </w:rPr>
        <w:t xml:space="preserve"> which is relevant for </w:t>
      </w:r>
      <w:r w:rsidR="00125A14" w:rsidRPr="00172E83">
        <w:rPr>
          <w:rFonts w:ascii="Calibri" w:hAnsi="Calibri"/>
          <w:color w:val="000000" w:themeColor="text1"/>
          <w:sz w:val="22"/>
          <w:szCs w:val="22"/>
          <w:lang w:val="en-US"/>
        </w:rPr>
        <w:t>its effectiveness, both institutional f</w:t>
      </w:r>
      <w:r w:rsidR="00C06DB3" w:rsidRPr="00172E83">
        <w:rPr>
          <w:rFonts w:ascii="Calibri" w:hAnsi="Calibri"/>
          <w:color w:val="000000" w:themeColor="text1"/>
          <w:sz w:val="22"/>
          <w:szCs w:val="22"/>
          <w:lang w:val="en-US"/>
        </w:rPr>
        <w:t>eatures of the financial market,</w:t>
      </w:r>
      <w:r w:rsidR="00125A14" w:rsidRPr="00172E83">
        <w:rPr>
          <w:rFonts w:ascii="Calibri" w:hAnsi="Calibri"/>
          <w:color w:val="000000" w:themeColor="text1"/>
          <w:sz w:val="22"/>
          <w:szCs w:val="22"/>
          <w:lang w:val="en-US"/>
        </w:rPr>
        <w:t xml:space="preserve"> and the macroeconomic regime, shaped by </w:t>
      </w:r>
      <w:r w:rsidR="00E45B0A" w:rsidRPr="00172E83">
        <w:rPr>
          <w:rFonts w:ascii="Calibri" w:hAnsi="Calibri"/>
          <w:color w:val="000000" w:themeColor="text1"/>
          <w:sz w:val="22"/>
          <w:szCs w:val="22"/>
          <w:lang w:val="en-US"/>
        </w:rPr>
        <w:t xml:space="preserve">macroeconomic constraints, </w:t>
      </w:r>
      <w:r w:rsidR="00C06DB3" w:rsidRPr="00172E83">
        <w:rPr>
          <w:rFonts w:ascii="Calibri" w:hAnsi="Calibri"/>
          <w:color w:val="000000" w:themeColor="text1"/>
          <w:sz w:val="22"/>
          <w:szCs w:val="22"/>
          <w:lang w:val="en-US"/>
        </w:rPr>
        <w:t xml:space="preserve">are </w:t>
      </w:r>
      <w:r w:rsidR="00551F77" w:rsidRPr="00172E83">
        <w:rPr>
          <w:rFonts w:ascii="Calibri" w:hAnsi="Calibri"/>
          <w:color w:val="000000" w:themeColor="text1"/>
          <w:sz w:val="22"/>
          <w:szCs w:val="22"/>
          <w:lang w:val="en-US"/>
        </w:rPr>
        <w:t>relevant</w:t>
      </w:r>
      <w:r w:rsidR="00C06DB3" w:rsidRPr="00172E83">
        <w:rPr>
          <w:rFonts w:ascii="Calibri" w:hAnsi="Calibri"/>
          <w:color w:val="000000" w:themeColor="text1"/>
          <w:sz w:val="22"/>
          <w:szCs w:val="22"/>
          <w:lang w:val="en-US"/>
        </w:rPr>
        <w:t xml:space="preserve">. </w:t>
      </w:r>
      <w:r w:rsidR="00E45B0A" w:rsidRPr="00172E83">
        <w:rPr>
          <w:rFonts w:ascii="Calibri" w:hAnsi="Calibri"/>
          <w:color w:val="000000" w:themeColor="text1"/>
          <w:sz w:val="22"/>
          <w:szCs w:val="22"/>
          <w:lang w:val="en-US"/>
        </w:rPr>
        <w:t xml:space="preserve">For the case of Brazil, we </w:t>
      </w:r>
      <w:r w:rsidR="00C06DB3" w:rsidRPr="00172E83">
        <w:rPr>
          <w:rFonts w:ascii="Calibri" w:hAnsi="Calibri"/>
          <w:color w:val="000000" w:themeColor="text1"/>
          <w:sz w:val="22"/>
          <w:szCs w:val="22"/>
          <w:lang w:val="en-US"/>
        </w:rPr>
        <w:t xml:space="preserve">conclude </w:t>
      </w:r>
      <w:r w:rsidR="00E45B0A" w:rsidRPr="00172E83">
        <w:rPr>
          <w:rFonts w:ascii="Calibri" w:hAnsi="Calibri"/>
          <w:color w:val="000000" w:themeColor="text1"/>
          <w:sz w:val="22"/>
          <w:szCs w:val="22"/>
          <w:lang w:val="en-US"/>
        </w:rPr>
        <w:t xml:space="preserve">that </w:t>
      </w:r>
      <w:r w:rsidR="00B57D9F" w:rsidRPr="00172E83">
        <w:rPr>
          <w:rFonts w:ascii="Calibri" w:hAnsi="Calibri"/>
          <w:color w:val="000000" w:themeColor="text1"/>
          <w:sz w:val="22"/>
          <w:szCs w:val="22"/>
          <w:lang w:val="en-US"/>
        </w:rPr>
        <w:t xml:space="preserve">contrary to the 2000s, </w:t>
      </w:r>
      <w:r w:rsidR="00842AF1" w:rsidRPr="00172E83">
        <w:rPr>
          <w:rFonts w:ascii="Calibri" w:hAnsi="Calibri"/>
          <w:color w:val="000000" w:themeColor="text1"/>
          <w:sz w:val="22"/>
          <w:szCs w:val="22"/>
          <w:lang w:val="en-GB"/>
        </w:rPr>
        <w:t>t</w:t>
      </w:r>
      <w:r w:rsidR="00CF5A6E" w:rsidRPr="00172E83">
        <w:rPr>
          <w:rFonts w:ascii="Calibri" w:hAnsi="Calibri"/>
          <w:color w:val="000000" w:themeColor="text1"/>
          <w:sz w:val="22"/>
          <w:szCs w:val="22"/>
          <w:lang w:val="en-GB"/>
        </w:rPr>
        <w:t xml:space="preserve">he </w:t>
      </w:r>
      <w:r w:rsidR="00842AF1" w:rsidRPr="00172E83">
        <w:rPr>
          <w:rFonts w:ascii="Calibri" w:hAnsi="Calibri"/>
          <w:color w:val="000000" w:themeColor="text1"/>
          <w:sz w:val="22"/>
          <w:szCs w:val="22"/>
          <w:lang w:val="en-GB"/>
        </w:rPr>
        <w:t xml:space="preserve">strong </w:t>
      </w:r>
      <w:r w:rsidR="00CF5A6E" w:rsidRPr="00172E83">
        <w:rPr>
          <w:rFonts w:ascii="Calibri" w:hAnsi="Calibri"/>
          <w:color w:val="000000" w:themeColor="text1"/>
          <w:sz w:val="22"/>
          <w:szCs w:val="22"/>
          <w:lang w:val="en-GB"/>
        </w:rPr>
        <w:t xml:space="preserve">preference given to inflation stabilization in the 1990s, together with </w:t>
      </w:r>
      <w:r w:rsidR="00842AF1" w:rsidRPr="00172E83">
        <w:rPr>
          <w:rFonts w:ascii="Calibri" w:hAnsi="Calibri"/>
          <w:color w:val="000000" w:themeColor="text1"/>
          <w:sz w:val="22"/>
          <w:szCs w:val="22"/>
          <w:lang w:val="en-GB"/>
        </w:rPr>
        <w:t xml:space="preserve">high external vulnerability, </w:t>
      </w:r>
      <w:r w:rsidR="00E9544E" w:rsidRPr="00172E83">
        <w:rPr>
          <w:rFonts w:ascii="Calibri" w:hAnsi="Calibri"/>
          <w:color w:val="000000" w:themeColor="text1"/>
          <w:sz w:val="22"/>
          <w:szCs w:val="22"/>
          <w:lang w:val="en-GB"/>
        </w:rPr>
        <w:t>strongly limited the CAR’</w:t>
      </w:r>
      <w:r w:rsidR="00822E8D" w:rsidRPr="00172E83">
        <w:rPr>
          <w:rFonts w:ascii="Calibri" w:hAnsi="Calibri"/>
          <w:color w:val="000000" w:themeColor="text1"/>
          <w:sz w:val="22"/>
          <w:szCs w:val="22"/>
          <w:lang w:val="en-GB"/>
        </w:rPr>
        <w:t>s</w:t>
      </w:r>
      <w:r w:rsidR="00E9544E" w:rsidRPr="00172E83">
        <w:rPr>
          <w:rFonts w:ascii="Calibri" w:hAnsi="Calibri"/>
          <w:color w:val="000000" w:themeColor="text1"/>
          <w:sz w:val="22"/>
          <w:szCs w:val="22"/>
          <w:lang w:val="en-GB"/>
        </w:rPr>
        <w:t xml:space="preserve"> design of this period</w:t>
      </w:r>
      <w:r w:rsidR="009A1152" w:rsidRPr="00172E83">
        <w:rPr>
          <w:rFonts w:ascii="Calibri" w:hAnsi="Calibri"/>
          <w:color w:val="000000" w:themeColor="text1"/>
          <w:sz w:val="22"/>
          <w:szCs w:val="22"/>
          <w:lang w:val="en-GB"/>
        </w:rPr>
        <w:t xml:space="preserve">. </w:t>
      </w:r>
    </w:p>
    <w:p w14:paraId="3088B8D6" w14:textId="77777777" w:rsidR="0098199F" w:rsidRPr="00172E83" w:rsidRDefault="0098199F" w:rsidP="008917A7">
      <w:pPr>
        <w:pStyle w:val="Padro"/>
        <w:spacing w:after="0" w:line="100" w:lineRule="atLeast"/>
        <w:jc w:val="both"/>
        <w:rPr>
          <w:rFonts w:ascii="Calibri" w:hAnsi="Calibri"/>
          <w:color w:val="000000" w:themeColor="text1"/>
          <w:sz w:val="22"/>
          <w:szCs w:val="22"/>
          <w:lang w:val="en-GB"/>
        </w:rPr>
      </w:pPr>
    </w:p>
    <w:p w14:paraId="0827B98B" w14:textId="77777777" w:rsidR="00FA2FFC" w:rsidRPr="00172E83" w:rsidRDefault="00FA2FFC">
      <w:pPr>
        <w:pStyle w:val="Padro"/>
        <w:spacing w:after="0" w:line="100" w:lineRule="atLeast"/>
        <w:jc w:val="both"/>
        <w:rPr>
          <w:color w:val="000000" w:themeColor="text1"/>
          <w:lang w:val="en-US"/>
        </w:rPr>
      </w:pPr>
    </w:p>
    <w:p w14:paraId="7705CE21" w14:textId="77777777" w:rsidR="00FF1855" w:rsidRPr="00172E83" w:rsidRDefault="00272C2D">
      <w:pPr>
        <w:pStyle w:val="Padro"/>
        <w:spacing w:after="0" w:line="100" w:lineRule="atLeast"/>
        <w:jc w:val="both"/>
        <w:rPr>
          <w:rFonts w:ascii="Calibri" w:hAnsi="Calibri"/>
          <w:color w:val="000000" w:themeColor="text1"/>
          <w:sz w:val="22"/>
          <w:szCs w:val="22"/>
          <w:lang w:val="en-GB"/>
        </w:rPr>
      </w:pPr>
      <w:r w:rsidRPr="00421706">
        <w:rPr>
          <w:rFonts w:ascii="Calibri" w:hAnsi="Calibri"/>
          <w:b/>
          <w:color w:val="000000" w:themeColor="text1"/>
          <w:sz w:val="22"/>
          <w:szCs w:val="22"/>
          <w:lang w:val="en-GB"/>
        </w:rPr>
        <w:t>Key words</w:t>
      </w:r>
      <w:r w:rsidRPr="00172E83">
        <w:rPr>
          <w:rFonts w:ascii="Calibri" w:hAnsi="Calibri"/>
          <w:color w:val="000000" w:themeColor="text1"/>
          <w:sz w:val="22"/>
          <w:szCs w:val="22"/>
          <w:lang w:val="en-GB"/>
        </w:rPr>
        <w:t>:</w:t>
      </w:r>
      <w:r w:rsidR="00822E8D" w:rsidRPr="00172E83">
        <w:rPr>
          <w:rFonts w:ascii="Calibri" w:hAnsi="Calibri"/>
          <w:color w:val="000000" w:themeColor="text1"/>
          <w:sz w:val="22"/>
          <w:szCs w:val="22"/>
          <w:lang w:val="en-GB"/>
        </w:rPr>
        <w:t xml:space="preserve"> </w:t>
      </w:r>
      <w:r w:rsidR="001D1161" w:rsidRPr="00172E83">
        <w:rPr>
          <w:rFonts w:ascii="Calibri" w:hAnsi="Calibri"/>
          <w:color w:val="000000" w:themeColor="text1"/>
          <w:sz w:val="22"/>
          <w:szCs w:val="22"/>
          <w:lang w:val="en-GB"/>
        </w:rPr>
        <w:t>Macroeconomic regime; Capital account regulation</w:t>
      </w:r>
      <w:r w:rsidR="00B46096" w:rsidRPr="00172E83">
        <w:rPr>
          <w:rFonts w:ascii="Calibri" w:hAnsi="Calibri"/>
          <w:color w:val="000000" w:themeColor="text1"/>
          <w:sz w:val="22"/>
          <w:szCs w:val="22"/>
          <w:lang w:val="en-GB"/>
        </w:rPr>
        <w:t xml:space="preserve">, </w:t>
      </w:r>
      <w:r w:rsidR="00603BA3" w:rsidRPr="00172E83">
        <w:rPr>
          <w:rFonts w:ascii="Calibri" w:hAnsi="Calibri"/>
          <w:color w:val="000000" w:themeColor="text1"/>
          <w:sz w:val="22"/>
          <w:szCs w:val="22"/>
          <w:lang w:val="en-GB"/>
        </w:rPr>
        <w:t>C</w:t>
      </w:r>
      <w:r w:rsidR="00875E8E" w:rsidRPr="00172E83">
        <w:rPr>
          <w:rFonts w:ascii="Calibri" w:hAnsi="Calibri"/>
          <w:color w:val="000000" w:themeColor="text1"/>
          <w:sz w:val="22"/>
          <w:szCs w:val="22"/>
          <w:lang w:val="en-GB"/>
        </w:rPr>
        <w:t>apital flows, Emerging economies</w:t>
      </w:r>
    </w:p>
    <w:p w14:paraId="34C1B084" w14:textId="77777777" w:rsidR="00FF1855" w:rsidRPr="00172E83" w:rsidRDefault="00FF1855">
      <w:pPr>
        <w:pStyle w:val="Padro"/>
        <w:spacing w:after="0" w:line="100" w:lineRule="atLeast"/>
        <w:jc w:val="both"/>
        <w:rPr>
          <w:color w:val="000000" w:themeColor="text1"/>
          <w:lang w:val="en-US"/>
        </w:rPr>
      </w:pPr>
    </w:p>
    <w:p w14:paraId="059D7A6B" w14:textId="77777777" w:rsidR="00551F77" w:rsidRPr="00172E83" w:rsidRDefault="00272C2D">
      <w:pPr>
        <w:pStyle w:val="Padro"/>
        <w:spacing w:after="0" w:line="100" w:lineRule="atLeast"/>
        <w:jc w:val="both"/>
        <w:rPr>
          <w:color w:val="000000" w:themeColor="text1"/>
          <w:lang w:val="en-US"/>
        </w:rPr>
      </w:pPr>
      <w:r w:rsidRPr="00172E83">
        <w:rPr>
          <w:color w:val="000000" w:themeColor="text1"/>
          <w:lang w:val="en-US"/>
        </w:rPr>
        <w:t xml:space="preserve"> </w:t>
      </w:r>
    </w:p>
    <w:p w14:paraId="056E12C6" w14:textId="7F288EB2" w:rsidR="00FA2FFC" w:rsidRPr="00421706" w:rsidRDefault="00280BFD" w:rsidP="00280BFD">
      <w:pPr>
        <w:pStyle w:val="berschrift2"/>
        <w:spacing w:after="240"/>
        <w:rPr>
          <w:b/>
          <w:color w:val="000000" w:themeColor="text1"/>
          <w:lang w:val="en-US"/>
        </w:rPr>
      </w:pPr>
      <w:r w:rsidRPr="00421706">
        <w:rPr>
          <w:b/>
          <w:color w:val="000000" w:themeColor="text1"/>
          <w:lang w:val="en-US"/>
        </w:rPr>
        <w:t xml:space="preserve">1. </w:t>
      </w:r>
      <w:r w:rsidR="00D757F7" w:rsidRPr="00421706">
        <w:rPr>
          <w:b/>
          <w:color w:val="000000" w:themeColor="text1"/>
          <w:lang w:val="en-US"/>
        </w:rPr>
        <w:t xml:space="preserve">Introduction                       </w:t>
      </w:r>
    </w:p>
    <w:p w14:paraId="6AD2D65F" w14:textId="77777777" w:rsidR="00DB0C14" w:rsidRPr="00172E83" w:rsidRDefault="00166B3B" w:rsidP="00783CA4">
      <w:pPr>
        <w:pStyle w:val="Padro"/>
        <w:spacing w:line="360" w:lineRule="auto"/>
        <w:jc w:val="both"/>
        <w:rPr>
          <w:rFonts w:ascii="Calibri" w:hAnsi="Calibri"/>
          <w:color w:val="000000" w:themeColor="text1"/>
          <w:sz w:val="22"/>
          <w:szCs w:val="22"/>
          <w:lang w:val="en-US"/>
        </w:rPr>
      </w:pPr>
      <w:r w:rsidRPr="00172E83">
        <w:rPr>
          <w:rFonts w:ascii="Calibri" w:hAnsi="Calibri"/>
          <w:color w:val="000000" w:themeColor="text1"/>
          <w:sz w:val="22"/>
          <w:szCs w:val="22"/>
          <w:lang w:val="en-US"/>
        </w:rPr>
        <w:t xml:space="preserve">The issue of the regulation of international </w:t>
      </w:r>
      <w:r w:rsidR="007203CD" w:rsidRPr="00172E83">
        <w:rPr>
          <w:rFonts w:ascii="Calibri" w:hAnsi="Calibri"/>
          <w:color w:val="000000" w:themeColor="text1"/>
          <w:sz w:val="22"/>
          <w:szCs w:val="22"/>
          <w:lang w:val="en-US"/>
        </w:rPr>
        <w:t>finance</w:t>
      </w:r>
      <w:r w:rsidRPr="00172E83">
        <w:rPr>
          <w:rFonts w:ascii="Calibri" w:hAnsi="Calibri"/>
          <w:color w:val="000000" w:themeColor="text1"/>
          <w:sz w:val="22"/>
          <w:szCs w:val="22"/>
          <w:lang w:val="en-US"/>
        </w:rPr>
        <w:t xml:space="preserve"> </w:t>
      </w:r>
      <w:r w:rsidR="0025338F" w:rsidRPr="00172E83">
        <w:rPr>
          <w:rFonts w:ascii="Calibri" w:hAnsi="Calibri"/>
          <w:color w:val="000000" w:themeColor="text1"/>
          <w:sz w:val="22"/>
          <w:szCs w:val="22"/>
          <w:lang w:val="en-US"/>
        </w:rPr>
        <w:t xml:space="preserve">garnered greater </w:t>
      </w:r>
      <w:r w:rsidRPr="00172E83">
        <w:rPr>
          <w:rFonts w:ascii="Calibri" w:hAnsi="Calibri"/>
          <w:color w:val="000000" w:themeColor="text1"/>
          <w:sz w:val="22"/>
          <w:szCs w:val="22"/>
          <w:lang w:val="en-US"/>
        </w:rPr>
        <w:t>attention in the years following the global crisis of 2008</w:t>
      </w:r>
      <w:r w:rsidR="00783CA4" w:rsidRPr="00172E83">
        <w:rPr>
          <w:rFonts w:ascii="Calibri" w:hAnsi="Calibri"/>
          <w:color w:val="000000" w:themeColor="text1"/>
          <w:sz w:val="22"/>
          <w:szCs w:val="22"/>
          <w:lang w:val="en-US"/>
        </w:rPr>
        <w:t>.</w:t>
      </w:r>
      <w:r w:rsidR="00AD7A1A" w:rsidRPr="00172E83">
        <w:rPr>
          <w:rFonts w:ascii="Calibri" w:hAnsi="Calibri"/>
          <w:color w:val="000000" w:themeColor="text1"/>
          <w:sz w:val="22"/>
          <w:szCs w:val="22"/>
          <w:lang w:val="en-US"/>
        </w:rPr>
        <w:t xml:space="preserve"> The countercyclical monetary policies </w:t>
      </w:r>
      <w:r w:rsidR="00783CA4" w:rsidRPr="00172E83">
        <w:rPr>
          <w:rFonts w:ascii="Calibri" w:hAnsi="Calibri"/>
          <w:color w:val="000000" w:themeColor="text1"/>
          <w:sz w:val="22"/>
          <w:szCs w:val="22"/>
          <w:lang w:val="en-US"/>
        </w:rPr>
        <w:t xml:space="preserve">in advanced economies </w:t>
      </w:r>
      <w:r w:rsidR="00B96FEA" w:rsidRPr="00172E83">
        <w:rPr>
          <w:rFonts w:ascii="Calibri" w:hAnsi="Calibri"/>
          <w:color w:val="000000" w:themeColor="text1"/>
          <w:sz w:val="22"/>
          <w:szCs w:val="22"/>
          <w:lang w:val="en-US"/>
        </w:rPr>
        <w:t xml:space="preserve">brought a </w:t>
      </w:r>
      <w:r w:rsidRPr="00172E83">
        <w:rPr>
          <w:rFonts w:ascii="Calibri" w:hAnsi="Calibri"/>
          <w:color w:val="000000" w:themeColor="text1"/>
          <w:sz w:val="22"/>
          <w:szCs w:val="22"/>
          <w:lang w:val="en-US"/>
        </w:rPr>
        <w:t xml:space="preserve">new wave of </w:t>
      </w:r>
      <w:r w:rsidR="00783CA4" w:rsidRPr="00172E83">
        <w:rPr>
          <w:rFonts w:ascii="Calibri" w:hAnsi="Calibri"/>
          <w:color w:val="000000" w:themeColor="text1"/>
          <w:sz w:val="22"/>
          <w:szCs w:val="22"/>
          <w:lang w:val="en-US"/>
        </w:rPr>
        <w:t xml:space="preserve">high and volatile </w:t>
      </w:r>
      <w:r w:rsidRPr="00172E83">
        <w:rPr>
          <w:rFonts w:ascii="Calibri" w:hAnsi="Calibri"/>
          <w:color w:val="000000" w:themeColor="text1"/>
          <w:sz w:val="22"/>
          <w:szCs w:val="22"/>
          <w:lang w:val="en-US"/>
        </w:rPr>
        <w:t>capital flows to emerging economies</w:t>
      </w:r>
      <w:r w:rsidR="003B7E3D" w:rsidRPr="00172E83">
        <w:rPr>
          <w:rFonts w:ascii="Calibri" w:hAnsi="Calibri"/>
          <w:color w:val="000000" w:themeColor="text1"/>
          <w:sz w:val="22"/>
          <w:szCs w:val="22"/>
          <w:lang w:val="en-US"/>
        </w:rPr>
        <w:t xml:space="preserve">. These finally caused a major shift in terms </w:t>
      </w:r>
      <w:r w:rsidR="00783CA4" w:rsidRPr="00172E83">
        <w:rPr>
          <w:rFonts w:ascii="Calibri" w:hAnsi="Calibri"/>
          <w:color w:val="000000" w:themeColor="text1"/>
          <w:sz w:val="22"/>
          <w:szCs w:val="22"/>
          <w:lang w:val="en-US"/>
        </w:rPr>
        <w:t xml:space="preserve">of the perspective on the </w:t>
      </w:r>
      <w:r w:rsidR="003B7E3D" w:rsidRPr="00172E83">
        <w:rPr>
          <w:rFonts w:ascii="Calibri" w:hAnsi="Calibri"/>
          <w:color w:val="000000" w:themeColor="text1"/>
          <w:sz w:val="22"/>
          <w:szCs w:val="22"/>
          <w:lang w:val="en-US"/>
        </w:rPr>
        <w:t>i</w:t>
      </w:r>
      <w:r w:rsidR="00783CA4" w:rsidRPr="00172E83">
        <w:rPr>
          <w:rFonts w:ascii="Calibri" w:hAnsi="Calibri"/>
          <w:color w:val="000000" w:themeColor="text1"/>
          <w:sz w:val="22"/>
          <w:szCs w:val="22"/>
          <w:lang w:val="en-US"/>
        </w:rPr>
        <w:t>ssue of capital flows</w:t>
      </w:r>
      <w:r w:rsidRPr="00172E83">
        <w:rPr>
          <w:rFonts w:ascii="Calibri" w:hAnsi="Calibri"/>
          <w:color w:val="000000" w:themeColor="text1"/>
          <w:sz w:val="22"/>
          <w:szCs w:val="22"/>
          <w:lang w:val="en-US"/>
        </w:rPr>
        <w:t xml:space="preserve">. </w:t>
      </w:r>
      <w:r w:rsidR="003B7E3D" w:rsidRPr="00172E83">
        <w:rPr>
          <w:rFonts w:ascii="Calibri" w:hAnsi="Calibri"/>
          <w:color w:val="000000" w:themeColor="text1"/>
          <w:sz w:val="22"/>
          <w:szCs w:val="22"/>
          <w:lang w:val="en-US"/>
        </w:rPr>
        <w:t xml:space="preserve">While for a long period a microeconomic perspective on the efficiency of international financial liberalization dominated the debate, recent years brought a shift towards a macroeconomic perspective. </w:t>
      </w:r>
      <w:r w:rsidR="002B2DA9" w:rsidRPr="00172E83">
        <w:rPr>
          <w:rFonts w:ascii="Calibri" w:hAnsi="Calibri"/>
          <w:color w:val="000000" w:themeColor="text1"/>
          <w:sz w:val="22"/>
          <w:szCs w:val="22"/>
          <w:lang w:val="en-US"/>
        </w:rPr>
        <w:t xml:space="preserve">Currently, </w:t>
      </w:r>
      <w:r w:rsidR="003B7E3D" w:rsidRPr="00172E83">
        <w:rPr>
          <w:rFonts w:ascii="Calibri" w:hAnsi="Calibri"/>
          <w:color w:val="000000" w:themeColor="text1"/>
          <w:sz w:val="22"/>
          <w:szCs w:val="22"/>
          <w:lang w:val="en-US"/>
        </w:rPr>
        <w:t xml:space="preserve">the focus is on the macroeconomic gains of regulating international capital flows in terms of reducing external and financial vulnerability. </w:t>
      </w:r>
      <w:r w:rsidR="002B2DA9" w:rsidRPr="00172E83">
        <w:rPr>
          <w:rFonts w:ascii="Calibri" w:hAnsi="Calibri"/>
          <w:color w:val="000000" w:themeColor="text1"/>
          <w:sz w:val="22"/>
          <w:szCs w:val="22"/>
          <w:lang w:val="en-US"/>
        </w:rPr>
        <w:t>T</w:t>
      </w:r>
      <w:r w:rsidR="003B7E3D" w:rsidRPr="00172E83">
        <w:rPr>
          <w:rFonts w:ascii="Calibri" w:hAnsi="Calibri"/>
          <w:color w:val="000000" w:themeColor="text1"/>
          <w:sz w:val="22"/>
          <w:szCs w:val="22"/>
          <w:lang w:val="en-US"/>
        </w:rPr>
        <w:t xml:space="preserve">he debate mainly centers around the question if the regulation of </w:t>
      </w:r>
      <w:r w:rsidR="002B2DA9" w:rsidRPr="00172E83">
        <w:rPr>
          <w:rFonts w:ascii="Calibri" w:hAnsi="Calibri"/>
          <w:color w:val="000000" w:themeColor="text1"/>
          <w:sz w:val="22"/>
          <w:szCs w:val="22"/>
          <w:lang w:val="en-US"/>
        </w:rPr>
        <w:t xml:space="preserve">capital flows should be an additional instrument to deal with exceptional times </w:t>
      </w:r>
      <w:r w:rsidR="002B2DA9" w:rsidRPr="00172E83">
        <w:rPr>
          <w:rFonts w:ascii="Calibri" w:hAnsi="Calibri"/>
          <w:color w:val="000000" w:themeColor="text1"/>
          <w:sz w:val="22"/>
          <w:szCs w:val="22"/>
          <w:lang w:val="en-US"/>
        </w:rPr>
        <w:lastRenderedPageBreak/>
        <w:t xml:space="preserve">of high and instable flows, having all other macroeconomic policies exhausted, or if these should be redefined as a permanent instrument of the toolkit for emerging economies </w:t>
      </w:r>
      <w:r w:rsidR="00DB0C14" w:rsidRPr="00172E83">
        <w:rPr>
          <w:rFonts w:ascii="Calibri" w:hAnsi="Calibri"/>
          <w:color w:val="000000" w:themeColor="text1"/>
          <w:sz w:val="22"/>
          <w:szCs w:val="22"/>
          <w:lang w:val="en-US"/>
        </w:rPr>
        <w:t xml:space="preserve">for reducing macroeconomic vulnerability. </w:t>
      </w:r>
    </w:p>
    <w:p w14:paraId="3576ED4E" w14:textId="77777777" w:rsidR="00701DEE" w:rsidRPr="00172E83" w:rsidRDefault="00DB0C14" w:rsidP="00783CA4">
      <w:pPr>
        <w:pStyle w:val="Padro"/>
        <w:spacing w:line="360" w:lineRule="auto"/>
        <w:jc w:val="both"/>
        <w:rPr>
          <w:rFonts w:ascii="Calibri" w:hAnsi="Calibri"/>
          <w:color w:val="000000" w:themeColor="text1"/>
          <w:sz w:val="22"/>
          <w:szCs w:val="22"/>
          <w:lang w:val="en-US"/>
        </w:rPr>
      </w:pPr>
      <w:r w:rsidRPr="00172E83">
        <w:rPr>
          <w:rFonts w:ascii="Calibri" w:hAnsi="Calibri"/>
          <w:color w:val="000000" w:themeColor="text1"/>
          <w:sz w:val="22"/>
          <w:szCs w:val="22"/>
          <w:lang w:val="en-US"/>
        </w:rPr>
        <w:t>Less attention has been given to the comparability of capital account regulation among different countries and time periods. A closer look shows that we find here a broad variety not only in terms of the specific tools used which can range from taxes over quantitative controls to verbal pers</w:t>
      </w:r>
      <w:r w:rsidR="00701DEE" w:rsidRPr="00172E83">
        <w:rPr>
          <w:rFonts w:ascii="Calibri" w:hAnsi="Calibri"/>
          <w:color w:val="000000" w:themeColor="text1"/>
          <w:sz w:val="22"/>
          <w:szCs w:val="22"/>
          <w:lang w:val="en-US"/>
        </w:rPr>
        <w:t>uas</w:t>
      </w:r>
      <w:r w:rsidRPr="00172E83">
        <w:rPr>
          <w:rFonts w:ascii="Calibri" w:hAnsi="Calibri"/>
          <w:color w:val="000000" w:themeColor="text1"/>
          <w:sz w:val="22"/>
          <w:szCs w:val="22"/>
          <w:lang w:val="en-US"/>
        </w:rPr>
        <w:t xml:space="preserve">ion. Also, and not less important, do they differ in their aims. While some are established with the expectation to make </w:t>
      </w:r>
      <w:r w:rsidR="00027A94" w:rsidRPr="00172E83">
        <w:rPr>
          <w:rFonts w:ascii="Calibri" w:hAnsi="Calibri"/>
          <w:color w:val="000000" w:themeColor="text1"/>
          <w:sz w:val="22"/>
          <w:szCs w:val="22"/>
          <w:lang w:val="en-US"/>
        </w:rPr>
        <w:t xml:space="preserve">capital flows </w:t>
      </w:r>
      <w:r w:rsidRPr="00172E83">
        <w:rPr>
          <w:rFonts w:ascii="Calibri" w:hAnsi="Calibri"/>
          <w:color w:val="000000" w:themeColor="text1"/>
          <w:sz w:val="22"/>
          <w:szCs w:val="22"/>
          <w:lang w:val="en-US"/>
        </w:rPr>
        <w:t xml:space="preserve">less short term, and with this less volatile, but not less in terms of volume, others are established to overall dampen inflows, in order to shield the exchange rate or the domestic financial sector from major </w:t>
      </w:r>
      <w:r w:rsidR="00701DEE" w:rsidRPr="00172E83">
        <w:rPr>
          <w:rFonts w:ascii="Calibri" w:hAnsi="Calibri"/>
          <w:color w:val="000000" w:themeColor="text1"/>
          <w:sz w:val="22"/>
          <w:szCs w:val="22"/>
          <w:lang w:val="en-US"/>
        </w:rPr>
        <w:t xml:space="preserve">disequilibria. </w:t>
      </w:r>
    </w:p>
    <w:p w14:paraId="65F2C666" w14:textId="203434B0" w:rsidR="00D356F7" w:rsidRPr="00172E83" w:rsidRDefault="00701DEE" w:rsidP="00701DEE">
      <w:pPr>
        <w:pStyle w:val="Padro"/>
        <w:spacing w:line="360" w:lineRule="auto"/>
        <w:jc w:val="both"/>
        <w:rPr>
          <w:rFonts w:ascii="Calibri" w:hAnsi="Calibri"/>
          <w:color w:val="000000" w:themeColor="text1"/>
          <w:sz w:val="22"/>
          <w:szCs w:val="22"/>
          <w:lang w:val="en-US"/>
        </w:rPr>
      </w:pPr>
      <w:r w:rsidRPr="00172E83">
        <w:rPr>
          <w:rFonts w:ascii="Calibri" w:hAnsi="Calibri"/>
          <w:color w:val="000000" w:themeColor="text1"/>
          <w:sz w:val="22"/>
          <w:szCs w:val="22"/>
          <w:lang w:val="en-US"/>
        </w:rPr>
        <w:t xml:space="preserve">Our paper seeks to contribute to this comparative perspective by linking the design of CAR to the specific </w:t>
      </w:r>
      <w:r w:rsidR="001F3680" w:rsidRPr="00172E83">
        <w:rPr>
          <w:rFonts w:ascii="Calibri" w:hAnsi="Calibri"/>
          <w:color w:val="000000" w:themeColor="text1"/>
          <w:sz w:val="22"/>
          <w:szCs w:val="22"/>
          <w:lang w:val="en-US"/>
        </w:rPr>
        <w:t xml:space="preserve">macroeconomic and institutional </w:t>
      </w:r>
      <w:r w:rsidRPr="00172E83">
        <w:rPr>
          <w:rFonts w:ascii="Calibri" w:hAnsi="Calibri"/>
          <w:color w:val="000000" w:themeColor="text1"/>
          <w:sz w:val="22"/>
          <w:szCs w:val="22"/>
          <w:lang w:val="en-US"/>
        </w:rPr>
        <w:t xml:space="preserve">context these are implemented within. By comparing the application of </w:t>
      </w:r>
      <w:r w:rsidR="003B7E3D" w:rsidRPr="00172E83">
        <w:rPr>
          <w:rFonts w:ascii="Calibri" w:hAnsi="Calibri"/>
          <w:color w:val="000000" w:themeColor="text1"/>
          <w:sz w:val="22"/>
          <w:szCs w:val="22"/>
          <w:lang w:val="en-US"/>
        </w:rPr>
        <w:t xml:space="preserve">similar types of CAR in Brazil during the 1990s and the 2000s, we </w:t>
      </w:r>
      <w:r w:rsidRPr="00172E83">
        <w:rPr>
          <w:rFonts w:ascii="Calibri" w:hAnsi="Calibri"/>
          <w:color w:val="000000" w:themeColor="text1"/>
          <w:sz w:val="22"/>
          <w:szCs w:val="22"/>
          <w:lang w:val="en-US"/>
        </w:rPr>
        <w:t>ask which variables do shape the design</w:t>
      </w:r>
      <w:r w:rsidR="001F3680" w:rsidRPr="00172E83">
        <w:rPr>
          <w:rFonts w:ascii="Calibri" w:hAnsi="Calibri"/>
          <w:color w:val="000000" w:themeColor="text1"/>
          <w:sz w:val="22"/>
          <w:szCs w:val="22"/>
          <w:lang w:val="en-US"/>
        </w:rPr>
        <w:t xml:space="preserve"> </w:t>
      </w:r>
      <w:r w:rsidRPr="00172E83">
        <w:rPr>
          <w:rFonts w:ascii="Calibri" w:hAnsi="Calibri"/>
          <w:color w:val="000000" w:themeColor="text1"/>
          <w:sz w:val="22"/>
          <w:szCs w:val="22"/>
          <w:lang w:val="en-US"/>
        </w:rPr>
        <w:t xml:space="preserve">of CAR. </w:t>
      </w:r>
      <w:r w:rsidR="006300D6" w:rsidRPr="00172E83">
        <w:rPr>
          <w:rFonts w:ascii="Calibri" w:hAnsi="Calibri"/>
          <w:color w:val="000000" w:themeColor="text1"/>
          <w:sz w:val="22"/>
          <w:szCs w:val="22"/>
          <w:lang w:val="en-US"/>
        </w:rPr>
        <w:t xml:space="preserve">We assume that </w:t>
      </w:r>
      <w:r w:rsidR="00DB400E" w:rsidRPr="00172E83">
        <w:rPr>
          <w:rFonts w:ascii="Calibri" w:hAnsi="Calibri"/>
          <w:color w:val="000000" w:themeColor="text1"/>
          <w:sz w:val="22"/>
          <w:szCs w:val="22"/>
          <w:lang w:val="en-US"/>
        </w:rPr>
        <w:t xml:space="preserve">the </w:t>
      </w:r>
      <w:r w:rsidR="006300D6" w:rsidRPr="00172E83">
        <w:rPr>
          <w:rFonts w:ascii="Calibri" w:hAnsi="Calibri"/>
          <w:color w:val="000000" w:themeColor="text1"/>
          <w:sz w:val="22"/>
          <w:szCs w:val="22"/>
          <w:lang w:val="en-US"/>
        </w:rPr>
        <w:t xml:space="preserve">effectiveness of CAR is a consequence of </w:t>
      </w:r>
      <w:r w:rsidR="00DB400E" w:rsidRPr="00172E83">
        <w:rPr>
          <w:rFonts w:ascii="Calibri" w:hAnsi="Calibri"/>
          <w:color w:val="000000" w:themeColor="text1"/>
          <w:sz w:val="22"/>
          <w:szCs w:val="22"/>
          <w:lang w:val="en-US"/>
        </w:rPr>
        <w:t>its</w:t>
      </w:r>
      <w:r w:rsidR="007125A5" w:rsidRPr="00172E83">
        <w:rPr>
          <w:rFonts w:ascii="Calibri" w:hAnsi="Calibri"/>
          <w:color w:val="000000" w:themeColor="text1"/>
          <w:sz w:val="22"/>
          <w:szCs w:val="22"/>
          <w:lang w:val="en-US"/>
        </w:rPr>
        <w:t xml:space="preserve"> design.</w:t>
      </w:r>
      <w:r w:rsidR="006300D6" w:rsidRPr="00172E83">
        <w:rPr>
          <w:rFonts w:ascii="Calibri" w:hAnsi="Calibri"/>
          <w:color w:val="000000" w:themeColor="text1"/>
          <w:sz w:val="22"/>
          <w:szCs w:val="22"/>
          <w:lang w:val="en-US"/>
        </w:rPr>
        <w:t xml:space="preserve"> </w:t>
      </w:r>
      <w:r w:rsidRPr="00172E83">
        <w:rPr>
          <w:rFonts w:ascii="Calibri" w:hAnsi="Calibri"/>
          <w:color w:val="000000" w:themeColor="text1"/>
          <w:sz w:val="22"/>
          <w:szCs w:val="22"/>
          <w:lang w:val="en-US"/>
        </w:rPr>
        <w:t xml:space="preserve">Our hypothesis is that </w:t>
      </w:r>
      <w:r w:rsidR="00DB38F3" w:rsidRPr="00172E83">
        <w:rPr>
          <w:rFonts w:ascii="Calibri" w:hAnsi="Calibri"/>
          <w:color w:val="000000" w:themeColor="text1"/>
          <w:sz w:val="22"/>
          <w:szCs w:val="22"/>
          <w:lang w:val="en-US"/>
        </w:rPr>
        <w:t xml:space="preserve">even if </w:t>
      </w:r>
      <w:r w:rsidRPr="00172E83">
        <w:rPr>
          <w:rFonts w:ascii="Calibri" w:hAnsi="Calibri"/>
          <w:color w:val="000000" w:themeColor="text1"/>
          <w:sz w:val="22"/>
          <w:szCs w:val="22"/>
          <w:lang w:val="en-US"/>
        </w:rPr>
        <w:t>institutional features of the financial market</w:t>
      </w:r>
      <w:r w:rsidR="00DB38F3" w:rsidRPr="00172E83">
        <w:rPr>
          <w:rFonts w:ascii="Calibri" w:hAnsi="Calibri"/>
          <w:color w:val="000000" w:themeColor="text1"/>
          <w:sz w:val="22"/>
          <w:szCs w:val="22"/>
          <w:lang w:val="en-US"/>
        </w:rPr>
        <w:t xml:space="preserve"> matter</w:t>
      </w:r>
      <w:r w:rsidR="00027A94" w:rsidRPr="00172E83">
        <w:rPr>
          <w:rFonts w:ascii="Calibri" w:hAnsi="Calibri"/>
          <w:color w:val="000000" w:themeColor="text1"/>
          <w:sz w:val="22"/>
          <w:szCs w:val="22"/>
          <w:lang w:val="en-US"/>
        </w:rPr>
        <w:t>, which</w:t>
      </w:r>
      <w:r w:rsidR="00DB38F3" w:rsidRPr="00172E83">
        <w:rPr>
          <w:rFonts w:ascii="Calibri" w:hAnsi="Calibri"/>
          <w:color w:val="000000" w:themeColor="text1"/>
          <w:sz w:val="22"/>
          <w:szCs w:val="22"/>
          <w:lang w:val="en-US"/>
        </w:rPr>
        <w:t xml:space="preserve"> was one of the main conclusions of empirical studies of the 1990s, </w:t>
      </w:r>
      <w:r w:rsidRPr="00172E83">
        <w:rPr>
          <w:rFonts w:ascii="Calibri" w:hAnsi="Calibri"/>
          <w:color w:val="000000" w:themeColor="text1"/>
          <w:sz w:val="22"/>
          <w:szCs w:val="22"/>
          <w:lang w:val="en-US"/>
        </w:rPr>
        <w:t xml:space="preserve">the macroeconomic regime, shaped itself by </w:t>
      </w:r>
      <w:r w:rsidR="0020111C" w:rsidRPr="00172E83">
        <w:rPr>
          <w:rFonts w:ascii="Calibri" w:hAnsi="Calibri"/>
          <w:color w:val="000000" w:themeColor="text1"/>
          <w:sz w:val="22"/>
          <w:szCs w:val="22"/>
          <w:lang w:val="en-US"/>
        </w:rPr>
        <w:t>external</w:t>
      </w:r>
      <w:r w:rsidR="003C7773" w:rsidRPr="00172E83">
        <w:rPr>
          <w:rFonts w:ascii="Calibri" w:hAnsi="Calibri"/>
          <w:color w:val="000000" w:themeColor="text1"/>
          <w:sz w:val="22"/>
          <w:szCs w:val="22"/>
          <w:lang w:val="en-US"/>
        </w:rPr>
        <w:t xml:space="preserve"> </w:t>
      </w:r>
      <w:r w:rsidRPr="00172E83">
        <w:rPr>
          <w:rFonts w:ascii="Calibri" w:hAnsi="Calibri"/>
          <w:color w:val="000000" w:themeColor="text1"/>
          <w:sz w:val="22"/>
          <w:szCs w:val="22"/>
          <w:lang w:val="en-US"/>
        </w:rPr>
        <w:t>constraints</w:t>
      </w:r>
      <w:r w:rsidR="00DB38F3" w:rsidRPr="00172E83">
        <w:rPr>
          <w:rFonts w:ascii="Calibri" w:hAnsi="Calibri"/>
          <w:color w:val="000000" w:themeColor="text1"/>
          <w:sz w:val="22"/>
          <w:szCs w:val="22"/>
          <w:lang w:val="en-US"/>
        </w:rPr>
        <w:t xml:space="preserve">, is </w:t>
      </w:r>
      <w:r w:rsidR="00027A94" w:rsidRPr="00172E83">
        <w:rPr>
          <w:rFonts w:ascii="Calibri" w:hAnsi="Calibri"/>
          <w:color w:val="000000" w:themeColor="text1"/>
          <w:sz w:val="22"/>
          <w:szCs w:val="22"/>
          <w:lang w:val="en-US"/>
        </w:rPr>
        <w:t xml:space="preserve">of </w:t>
      </w:r>
      <w:r w:rsidR="00DB38F3" w:rsidRPr="00172E83">
        <w:rPr>
          <w:rFonts w:ascii="Calibri" w:hAnsi="Calibri"/>
          <w:color w:val="000000" w:themeColor="text1"/>
          <w:sz w:val="22"/>
          <w:szCs w:val="22"/>
          <w:lang w:val="en-US"/>
        </w:rPr>
        <w:t>even higher relevance</w:t>
      </w:r>
      <w:r w:rsidRPr="00172E83">
        <w:rPr>
          <w:rFonts w:ascii="Calibri" w:hAnsi="Calibri"/>
          <w:color w:val="000000" w:themeColor="text1"/>
          <w:sz w:val="22"/>
          <w:szCs w:val="22"/>
          <w:lang w:val="en-US"/>
        </w:rPr>
        <w:t xml:space="preserve">. </w:t>
      </w:r>
    </w:p>
    <w:p w14:paraId="431BF9DB" w14:textId="1E9F4404" w:rsidR="001A51CE" w:rsidRPr="00172E83" w:rsidRDefault="001A51CE" w:rsidP="001A51CE">
      <w:pPr>
        <w:pStyle w:val="Padro"/>
        <w:spacing w:line="360" w:lineRule="auto"/>
        <w:jc w:val="both"/>
        <w:rPr>
          <w:rFonts w:ascii="Calibri" w:hAnsi="Calibri"/>
          <w:color w:val="000000" w:themeColor="text1"/>
          <w:sz w:val="22"/>
          <w:szCs w:val="22"/>
          <w:lang w:val="en-US"/>
        </w:rPr>
      </w:pPr>
      <w:r w:rsidRPr="00172E83">
        <w:rPr>
          <w:rFonts w:ascii="Calibri" w:hAnsi="Calibri"/>
          <w:color w:val="000000" w:themeColor="text1"/>
          <w:sz w:val="22"/>
          <w:szCs w:val="22"/>
          <w:lang w:val="en-US"/>
        </w:rPr>
        <w:t>We define the macroeconomic regime as an intermediary concept between global structures and economic policies at the domestic level. Following Herr/Kazandziska (201</w:t>
      </w:r>
      <w:r w:rsidR="003E337E" w:rsidRPr="00172E83">
        <w:rPr>
          <w:rFonts w:ascii="Calibri" w:hAnsi="Calibri"/>
          <w:color w:val="000000" w:themeColor="text1"/>
          <w:sz w:val="22"/>
          <w:szCs w:val="22"/>
          <w:lang w:val="en-US"/>
        </w:rPr>
        <w:t>1</w:t>
      </w:r>
      <w:r w:rsidRPr="00172E83">
        <w:rPr>
          <w:rFonts w:ascii="Calibri" w:hAnsi="Calibri"/>
          <w:color w:val="000000" w:themeColor="text1"/>
          <w:sz w:val="22"/>
          <w:szCs w:val="22"/>
          <w:lang w:val="en-US"/>
        </w:rPr>
        <w:t xml:space="preserve">: 2) we understand the macroeconomic regime as </w:t>
      </w:r>
    </w:p>
    <w:p w14:paraId="5D2D041B" w14:textId="3A658F07" w:rsidR="001A51CE" w:rsidRPr="00172E83" w:rsidRDefault="001A51CE" w:rsidP="00557EA3">
      <w:pPr>
        <w:pStyle w:val="Padro"/>
        <w:ind w:left="567" w:right="567"/>
        <w:jc w:val="both"/>
        <w:rPr>
          <w:rFonts w:ascii="Calibri" w:hAnsi="Calibri"/>
          <w:color w:val="000000" w:themeColor="text1"/>
          <w:sz w:val="22"/>
          <w:szCs w:val="22"/>
          <w:lang w:val="en-US"/>
        </w:rPr>
      </w:pPr>
      <w:r w:rsidRPr="00172E83">
        <w:rPr>
          <w:rFonts w:ascii="Calibri" w:hAnsi="Calibri"/>
          <w:color w:val="000000" w:themeColor="text1"/>
          <w:sz w:val="22"/>
          <w:szCs w:val="22"/>
          <w:lang w:val="en-US"/>
        </w:rPr>
        <w:t>“the interaction between monetary policy, fiscal policy, wage policy and foreign economic policy within a framework of both: macroeconomic institutions which can be actively changed by policy-makers and become part of economic policy, and institutions which are beyond the control of policymakers</w:t>
      </w:r>
      <w:r w:rsidR="00014E36" w:rsidRPr="00172E83">
        <w:rPr>
          <w:rFonts w:ascii="Calibri" w:hAnsi="Calibri"/>
          <w:color w:val="000000" w:themeColor="text1"/>
          <w:sz w:val="22"/>
          <w:szCs w:val="22"/>
          <w:lang w:val="en-US"/>
        </w:rPr>
        <w:t>”</w:t>
      </w:r>
      <w:r w:rsidR="00557EA3" w:rsidRPr="00172E83">
        <w:rPr>
          <w:rFonts w:ascii="Calibri" w:hAnsi="Calibri"/>
          <w:color w:val="000000" w:themeColor="text1"/>
          <w:sz w:val="22"/>
          <w:szCs w:val="22"/>
          <w:lang w:val="en-US"/>
        </w:rPr>
        <w:t>.</w:t>
      </w:r>
    </w:p>
    <w:p w14:paraId="024F0A36" w14:textId="77777777" w:rsidR="00C07380" w:rsidRPr="00172E83" w:rsidRDefault="001F3680" w:rsidP="00701DEE">
      <w:pPr>
        <w:pStyle w:val="Padro"/>
        <w:spacing w:line="360" w:lineRule="auto"/>
        <w:jc w:val="both"/>
        <w:rPr>
          <w:rFonts w:ascii="Calibri" w:hAnsi="Calibri"/>
          <w:color w:val="000000" w:themeColor="text1"/>
          <w:sz w:val="22"/>
          <w:szCs w:val="22"/>
          <w:lang w:val="en-US"/>
        </w:rPr>
      </w:pPr>
      <w:r w:rsidRPr="00172E83">
        <w:rPr>
          <w:rFonts w:ascii="Calibri" w:hAnsi="Calibri"/>
          <w:iCs/>
          <w:color w:val="000000" w:themeColor="text1"/>
          <w:sz w:val="22"/>
          <w:szCs w:val="22"/>
          <w:lang w:val="en-US"/>
        </w:rPr>
        <w:t>In th</w:t>
      </w:r>
      <w:r w:rsidR="00557EA3" w:rsidRPr="00172E83">
        <w:rPr>
          <w:rFonts w:ascii="Calibri" w:hAnsi="Calibri"/>
          <w:iCs/>
          <w:color w:val="000000" w:themeColor="text1"/>
          <w:sz w:val="22"/>
          <w:szCs w:val="22"/>
          <w:lang w:val="en-US"/>
        </w:rPr>
        <w:t xml:space="preserve">is paper, we will focus on the embeddedness of CAR specifically within monetary and exchange rate policies, as these are the most interrelated policy fields with the management of international capital flows. </w:t>
      </w:r>
      <w:r w:rsidR="00DB400E" w:rsidRPr="00172E83">
        <w:rPr>
          <w:rFonts w:ascii="Calibri" w:hAnsi="Calibri"/>
          <w:iCs/>
          <w:color w:val="000000" w:themeColor="text1"/>
          <w:sz w:val="22"/>
          <w:szCs w:val="22"/>
          <w:lang w:val="en-US"/>
        </w:rPr>
        <w:t>E</w:t>
      </w:r>
      <w:r w:rsidR="007125A5" w:rsidRPr="00172E83">
        <w:rPr>
          <w:rFonts w:ascii="Calibri" w:hAnsi="Calibri"/>
          <w:iCs/>
          <w:color w:val="000000" w:themeColor="text1"/>
          <w:sz w:val="22"/>
          <w:szCs w:val="22"/>
          <w:lang w:val="en-US"/>
        </w:rPr>
        <w:t>merging market economies</w:t>
      </w:r>
      <w:r w:rsidR="000C012F" w:rsidRPr="00172E83">
        <w:rPr>
          <w:rFonts w:ascii="Calibri" w:hAnsi="Calibri"/>
          <w:iCs/>
          <w:color w:val="000000" w:themeColor="text1"/>
          <w:sz w:val="22"/>
          <w:szCs w:val="22"/>
          <w:lang w:val="en-US"/>
        </w:rPr>
        <w:t xml:space="preserve"> are </w:t>
      </w:r>
      <w:r w:rsidR="00DB400E" w:rsidRPr="00172E83">
        <w:rPr>
          <w:rFonts w:ascii="Calibri" w:hAnsi="Calibri"/>
          <w:iCs/>
          <w:color w:val="000000" w:themeColor="text1"/>
          <w:sz w:val="22"/>
          <w:szCs w:val="22"/>
          <w:lang w:val="en-US"/>
        </w:rPr>
        <w:t xml:space="preserve">especially </w:t>
      </w:r>
      <w:r w:rsidR="000C012F" w:rsidRPr="00172E83">
        <w:rPr>
          <w:rFonts w:ascii="Calibri" w:hAnsi="Calibri"/>
          <w:iCs/>
          <w:color w:val="000000" w:themeColor="text1"/>
          <w:sz w:val="22"/>
          <w:szCs w:val="22"/>
          <w:lang w:val="en-US"/>
        </w:rPr>
        <w:t xml:space="preserve">more susceptible to external </w:t>
      </w:r>
      <w:r w:rsidR="007125A5" w:rsidRPr="00172E83">
        <w:rPr>
          <w:rFonts w:ascii="Calibri" w:hAnsi="Calibri"/>
          <w:iCs/>
          <w:color w:val="000000" w:themeColor="text1"/>
          <w:sz w:val="22"/>
          <w:szCs w:val="22"/>
          <w:lang w:val="en-US"/>
        </w:rPr>
        <w:t>vulnerability</w:t>
      </w:r>
      <w:r w:rsidR="000C012F" w:rsidRPr="00172E83">
        <w:rPr>
          <w:rFonts w:ascii="Calibri" w:hAnsi="Calibri"/>
          <w:iCs/>
          <w:color w:val="000000" w:themeColor="text1"/>
          <w:sz w:val="22"/>
          <w:szCs w:val="22"/>
          <w:lang w:val="en-US"/>
        </w:rPr>
        <w:t xml:space="preserve">, caused not only by the volatility of export prices and capital flows, but also by the fact that their external debt is mostly denominated in international currency. </w:t>
      </w:r>
      <w:r w:rsidR="007125A5" w:rsidRPr="00172E83">
        <w:rPr>
          <w:rFonts w:ascii="Calibri" w:hAnsi="Calibri"/>
          <w:iCs/>
          <w:color w:val="000000" w:themeColor="text1"/>
          <w:sz w:val="22"/>
          <w:szCs w:val="22"/>
          <w:lang w:val="en-US"/>
        </w:rPr>
        <w:t xml:space="preserve"> </w:t>
      </w:r>
      <w:r w:rsidR="00F8687A" w:rsidRPr="00172E83">
        <w:rPr>
          <w:rFonts w:ascii="Calibri" w:hAnsi="Calibri"/>
          <w:iCs/>
          <w:color w:val="000000" w:themeColor="text1"/>
          <w:sz w:val="22"/>
          <w:szCs w:val="22"/>
          <w:lang w:val="en-US"/>
        </w:rPr>
        <w:t>We argue that the choice of macroeconomic regime is shaped by domestic preferences</w:t>
      </w:r>
      <w:r w:rsidR="00DB400E" w:rsidRPr="00172E83">
        <w:rPr>
          <w:rFonts w:ascii="Calibri" w:hAnsi="Calibri"/>
          <w:iCs/>
          <w:color w:val="000000" w:themeColor="text1"/>
          <w:sz w:val="22"/>
          <w:szCs w:val="22"/>
          <w:lang w:val="en-US"/>
        </w:rPr>
        <w:t xml:space="preserve"> as well as </w:t>
      </w:r>
      <w:r w:rsidR="00F8687A" w:rsidRPr="00172E83">
        <w:rPr>
          <w:rFonts w:ascii="Calibri" w:hAnsi="Calibri"/>
          <w:iCs/>
          <w:color w:val="000000" w:themeColor="text1"/>
          <w:sz w:val="22"/>
          <w:szCs w:val="22"/>
          <w:lang w:val="en-US"/>
        </w:rPr>
        <w:t xml:space="preserve">by the current </w:t>
      </w:r>
      <w:r w:rsidR="00A7215D" w:rsidRPr="00172E83">
        <w:rPr>
          <w:rFonts w:ascii="Calibri" w:hAnsi="Calibri"/>
          <w:iCs/>
          <w:color w:val="000000" w:themeColor="text1"/>
          <w:sz w:val="22"/>
          <w:szCs w:val="22"/>
          <w:lang w:val="en-US"/>
        </w:rPr>
        <w:t>setting</w:t>
      </w:r>
      <w:r w:rsidR="00F8687A" w:rsidRPr="00172E83">
        <w:rPr>
          <w:rFonts w:ascii="Calibri" w:hAnsi="Calibri"/>
          <w:iCs/>
          <w:color w:val="000000" w:themeColor="text1"/>
          <w:sz w:val="22"/>
          <w:szCs w:val="22"/>
          <w:lang w:val="en-US"/>
        </w:rPr>
        <w:t xml:space="preserve"> of international </w:t>
      </w:r>
      <w:r w:rsidR="00F8687A" w:rsidRPr="00172E83">
        <w:rPr>
          <w:rFonts w:ascii="Calibri" w:hAnsi="Calibri"/>
          <w:color w:val="000000" w:themeColor="text1"/>
          <w:sz w:val="22"/>
          <w:szCs w:val="22"/>
          <w:lang w:val="en-US"/>
        </w:rPr>
        <w:t>constraints.</w:t>
      </w:r>
      <w:r w:rsidR="00A7215D" w:rsidRPr="00172E83">
        <w:rPr>
          <w:rFonts w:ascii="Calibri" w:hAnsi="Calibri"/>
          <w:color w:val="000000" w:themeColor="text1"/>
          <w:sz w:val="22"/>
          <w:szCs w:val="22"/>
          <w:lang w:val="en-US"/>
        </w:rPr>
        <w:t xml:space="preserve"> </w:t>
      </w:r>
    </w:p>
    <w:p w14:paraId="3FD804E1" w14:textId="2D477650" w:rsidR="00DB38F3" w:rsidRPr="00172E83" w:rsidRDefault="00A7215D" w:rsidP="00701DEE">
      <w:pPr>
        <w:pStyle w:val="Padro"/>
        <w:spacing w:line="360" w:lineRule="auto"/>
        <w:jc w:val="both"/>
        <w:rPr>
          <w:rFonts w:ascii="Calibri" w:hAnsi="Calibri"/>
          <w:color w:val="000000" w:themeColor="text1"/>
          <w:sz w:val="22"/>
          <w:szCs w:val="22"/>
          <w:u w:val="single"/>
          <w:lang w:val="en-US"/>
        </w:rPr>
      </w:pPr>
      <w:r w:rsidRPr="00172E83">
        <w:rPr>
          <w:rFonts w:ascii="Calibri" w:hAnsi="Calibri"/>
          <w:color w:val="000000" w:themeColor="text1"/>
          <w:sz w:val="22"/>
          <w:szCs w:val="22"/>
          <w:lang w:val="en-US"/>
        </w:rPr>
        <w:t>W</w:t>
      </w:r>
      <w:r w:rsidR="00DB38F3" w:rsidRPr="00172E83">
        <w:rPr>
          <w:rFonts w:ascii="Calibri" w:hAnsi="Calibri"/>
          <w:color w:val="000000" w:themeColor="text1"/>
          <w:sz w:val="22"/>
          <w:szCs w:val="22"/>
          <w:lang w:val="en-US"/>
        </w:rPr>
        <w:t>e will first</w:t>
      </w:r>
      <w:r w:rsidR="001F3680" w:rsidRPr="00172E83">
        <w:rPr>
          <w:rFonts w:ascii="Calibri" w:hAnsi="Calibri"/>
          <w:color w:val="000000" w:themeColor="text1"/>
          <w:sz w:val="22"/>
          <w:szCs w:val="22"/>
          <w:lang w:val="en-US"/>
        </w:rPr>
        <w:t>ly</w:t>
      </w:r>
      <w:r w:rsidR="00DB38F3" w:rsidRPr="00172E83">
        <w:rPr>
          <w:rFonts w:ascii="Calibri" w:hAnsi="Calibri"/>
          <w:color w:val="000000" w:themeColor="text1"/>
          <w:sz w:val="22"/>
          <w:szCs w:val="22"/>
          <w:lang w:val="en-US"/>
        </w:rPr>
        <w:t xml:space="preserve"> give an overview on the debate on CAR (part 2)</w:t>
      </w:r>
      <w:r w:rsidR="001F3680" w:rsidRPr="00172E83">
        <w:rPr>
          <w:rFonts w:ascii="Calibri" w:hAnsi="Calibri"/>
          <w:color w:val="000000" w:themeColor="text1"/>
          <w:sz w:val="22"/>
          <w:szCs w:val="22"/>
          <w:lang w:val="en-US"/>
        </w:rPr>
        <w:t>.  S</w:t>
      </w:r>
      <w:r w:rsidR="001F3680" w:rsidRPr="00172E83">
        <w:rPr>
          <w:rFonts w:ascii="Calibri" w:hAnsi="Calibri"/>
          <w:iCs/>
          <w:color w:val="000000" w:themeColor="text1"/>
          <w:sz w:val="22"/>
          <w:szCs w:val="22"/>
          <w:lang w:val="en-US"/>
        </w:rPr>
        <w:t xml:space="preserve">econdly, we </w:t>
      </w:r>
      <w:r w:rsidR="00DB38F3" w:rsidRPr="00172E83">
        <w:rPr>
          <w:rFonts w:ascii="Calibri" w:hAnsi="Calibri"/>
          <w:iCs/>
          <w:color w:val="000000" w:themeColor="text1"/>
          <w:sz w:val="22"/>
          <w:szCs w:val="22"/>
          <w:lang w:val="en-US"/>
        </w:rPr>
        <w:t xml:space="preserve">present </w:t>
      </w:r>
      <w:r w:rsidR="00DB400E" w:rsidRPr="00172E83">
        <w:rPr>
          <w:rFonts w:ascii="Calibri" w:hAnsi="Calibri"/>
          <w:iCs/>
          <w:color w:val="000000" w:themeColor="text1"/>
          <w:sz w:val="22"/>
          <w:szCs w:val="22"/>
          <w:lang w:val="en-US"/>
        </w:rPr>
        <w:t xml:space="preserve">the </w:t>
      </w:r>
      <w:r w:rsidR="00DB38F3" w:rsidRPr="00172E83">
        <w:rPr>
          <w:rFonts w:ascii="Calibri" w:hAnsi="Calibri"/>
          <w:iCs/>
          <w:color w:val="000000" w:themeColor="text1"/>
          <w:sz w:val="22"/>
          <w:szCs w:val="22"/>
          <w:lang w:val="en-US"/>
        </w:rPr>
        <w:t>empirical li</w:t>
      </w:r>
      <w:r w:rsidR="001F3680" w:rsidRPr="00172E83">
        <w:rPr>
          <w:rFonts w:ascii="Calibri" w:hAnsi="Calibri"/>
          <w:iCs/>
          <w:color w:val="000000" w:themeColor="text1"/>
          <w:sz w:val="22"/>
          <w:szCs w:val="22"/>
          <w:lang w:val="en-US"/>
        </w:rPr>
        <w:t>terature for the case of Brazil</w:t>
      </w:r>
      <w:r w:rsidR="00DB38F3" w:rsidRPr="00172E83">
        <w:rPr>
          <w:rFonts w:ascii="Calibri" w:hAnsi="Calibri"/>
          <w:iCs/>
          <w:color w:val="000000" w:themeColor="text1"/>
          <w:sz w:val="22"/>
          <w:szCs w:val="22"/>
          <w:lang w:val="en-US"/>
        </w:rPr>
        <w:t xml:space="preserve"> both for the 1990s and the 2000s (part 3)</w:t>
      </w:r>
      <w:r w:rsidR="00DB400E" w:rsidRPr="00172E83">
        <w:rPr>
          <w:rFonts w:ascii="Calibri" w:hAnsi="Calibri"/>
          <w:iCs/>
          <w:color w:val="000000" w:themeColor="text1"/>
          <w:sz w:val="22"/>
          <w:szCs w:val="22"/>
          <w:lang w:val="en-US"/>
        </w:rPr>
        <w:t>. T</w:t>
      </w:r>
      <w:r w:rsidR="001F3680" w:rsidRPr="00172E83">
        <w:rPr>
          <w:rFonts w:ascii="Calibri" w:hAnsi="Calibri"/>
          <w:iCs/>
          <w:color w:val="000000" w:themeColor="text1"/>
          <w:sz w:val="22"/>
          <w:szCs w:val="22"/>
          <w:lang w:val="en-US"/>
        </w:rPr>
        <w:t>hirdly</w:t>
      </w:r>
      <w:r w:rsidR="00DB38F3" w:rsidRPr="00172E83">
        <w:rPr>
          <w:rFonts w:ascii="Calibri" w:hAnsi="Calibri"/>
          <w:iCs/>
          <w:color w:val="000000" w:themeColor="text1"/>
          <w:sz w:val="22"/>
          <w:szCs w:val="22"/>
          <w:lang w:val="en-US"/>
        </w:rPr>
        <w:t xml:space="preserve">, </w:t>
      </w:r>
      <w:r w:rsidR="00014E36" w:rsidRPr="00172E83">
        <w:rPr>
          <w:rFonts w:ascii="Calibri" w:hAnsi="Calibri"/>
          <w:iCs/>
          <w:color w:val="000000" w:themeColor="text1"/>
          <w:sz w:val="22"/>
          <w:szCs w:val="22"/>
          <w:lang w:val="en-US"/>
        </w:rPr>
        <w:t xml:space="preserve">we </w:t>
      </w:r>
      <w:r w:rsidR="00DB38F3" w:rsidRPr="00172E83">
        <w:rPr>
          <w:rFonts w:ascii="Calibri" w:hAnsi="Calibri"/>
          <w:iCs/>
          <w:color w:val="000000" w:themeColor="text1"/>
          <w:sz w:val="22"/>
          <w:szCs w:val="22"/>
          <w:lang w:val="en-US"/>
        </w:rPr>
        <w:t xml:space="preserve">undertake a qualitative assessment of the design of CAR </w:t>
      </w:r>
      <w:r w:rsidR="00027A94" w:rsidRPr="00172E83">
        <w:rPr>
          <w:rFonts w:ascii="Calibri" w:hAnsi="Calibri"/>
          <w:color w:val="000000" w:themeColor="text1"/>
          <w:sz w:val="22"/>
          <w:szCs w:val="22"/>
          <w:lang w:val="en-US"/>
        </w:rPr>
        <w:t xml:space="preserve">implemented </w:t>
      </w:r>
      <w:r w:rsidR="00DB38F3" w:rsidRPr="00172E83">
        <w:rPr>
          <w:rFonts w:ascii="Calibri" w:hAnsi="Calibri"/>
          <w:iCs/>
          <w:color w:val="000000" w:themeColor="text1"/>
          <w:sz w:val="22"/>
          <w:szCs w:val="22"/>
          <w:lang w:val="en-US"/>
        </w:rPr>
        <w:t xml:space="preserve">in Brazil during these two periods within their macroeconomic </w:t>
      </w:r>
      <w:r w:rsidR="001F3680" w:rsidRPr="00172E83">
        <w:rPr>
          <w:rFonts w:ascii="Calibri" w:hAnsi="Calibri"/>
          <w:iCs/>
          <w:color w:val="000000" w:themeColor="text1"/>
          <w:sz w:val="22"/>
          <w:szCs w:val="22"/>
          <w:lang w:val="en-US"/>
        </w:rPr>
        <w:t xml:space="preserve">and institutional </w:t>
      </w:r>
      <w:r w:rsidR="00DB38F3" w:rsidRPr="00172E83">
        <w:rPr>
          <w:rFonts w:ascii="Calibri" w:hAnsi="Calibri"/>
          <w:iCs/>
          <w:color w:val="000000" w:themeColor="text1"/>
          <w:sz w:val="22"/>
          <w:szCs w:val="22"/>
          <w:lang w:val="en-US"/>
        </w:rPr>
        <w:t xml:space="preserve">context </w:t>
      </w:r>
      <w:r w:rsidR="0000690F" w:rsidRPr="00172E83">
        <w:rPr>
          <w:rFonts w:ascii="Calibri" w:hAnsi="Calibri"/>
          <w:iCs/>
          <w:color w:val="000000" w:themeColor="text1"/>
          <w:sz w:val="22"/>
          <w:szCs w:val="22"/>
          <w:lang w:val="en-US"/>
        </w:rPr>
        <w:t>and compare the</w:t>
      </w:r>
      <w:r w:rsidR="00014E36" w:rsidRPr="00172E83">
        <w:rPr>
          <w:rFonts w:ascii="Calibri" w:hAnsi="Calibri"/>
          <w:iCs/>
          <w:color w:val="000000" w:themeColor="text1"/>
          <w:sz w:val="22"/>
          <w:szCs w:val="22"/>
          <w:lang w:val="en-US"/>
        </w:rPr>
        <w:t>m</w:t>
      </w:r>
      <w:r w:rsidR="0000690F" w:rsidRPr="00172E83">
        <w:rPr>
          <w:rFonts w:ascii="Calibri" w:hAnsi="Calibri"/>
          <w:iCs/>
          <w:color w:val="000000" w:themeColor="text1"/>
          <w:sz w:val="22"/>
          <w:szCs w:val="22"/>
          <w:lang w:val="en-US"/>
        </w:rPr>
        <w:t xml:space="preserve"> </w:t>
      </w:r>
      <w:r w:rsidR="00DB38F3" w:rsidRPr="00172E83">
        <w:rPr>
          <w:rFonts w:ascii="Calibri" w:hAnsi="Calibri"/>
          <w:iCs/>
          <w:color w:val="000000" w:themeColor="text1"/>
          <w:sz w:val="22"/>
          <w:szCs w:val="22"/>
          <w:lang w:val="en-US"/>
        </w:rPr>
        <w:t>(part 4 and 5</w:t>
      </w:r>
      <w:r w:rsidR="001F3680" w:rsidRPr="00172E83">
        <w:rPr>
          <w:rFonts w:ascii="Calibri" w:hAnsi="Calibri"/>
          <w:iCs/>
          <w:color w:val="000000" w:themeColor="text1"/>
          <w:sz w:val="22"/>
          <w:szCs w:val="22"/>
          <w:lang w:val="en-US"/>
        </w:rPr>
        <w:t>). Finally, we</w:t>
      </w:r>
      <w:r w:rsidR="00DB38F3" w:rsidRPr="00172E83">
        <w:rPr>
          <w:rFonts w:ascii="Calibri" w:hAnsi="Calibri"/>
          <w:iCs/>
          <w:color w:val="000000" w:themeColor="text1"/>
          <w:sz w:val="22"/>
          <w:szCs w:val="22"/>
          <w:lang w:val="en-US"/>
        </w:rPr>
        <w:t xml:space="preserve"> draw some general conclusions </w:t>
      </w:r>
      <w:r w:rsidR="001F3680" w:rsidRPr="00172E83">
        <w:rPr>
          <w:rFonts w:ascii="Calibri" w:hAnsi="Calibri"/>
          <w:iCs/>
          <w:color w:val="000000" w:themeColor="text1"/>
          <w:sz w:val="22"/>
          <w:szCs w:val="22"/>
          <w:lang w:val="en-US"/>
        </w:rPr>
        <w:t>(</w:t>
      </w:r>
      <w:r w:rsidR="00DB38F3" w:rsidRPr="00172E83">
        <w:rPr>
          <w:rFonts w:ascii="Calibri" w:hAnsi="Calibri"/>
          <w:iCs/>
          <w:color w:val="000000" w:themeColor="text1"/>
          <w:sz w:val="22"/>
          <w:szCs w:val="22"/>
          <w:lang w:val="en-US"/>
        </w:rPr>
        <w:t>part 6</w:t>
      </w:r>
      <w:r w:rsidR="001F3680" w:rsidRPr="00172E83">
        <w:rPr>
          <w:rFonts w:ascii="Calibri" w:hAnsi="Calibri"/>
          <w:iCs/>
          <w:color w:val="000000" w:themeColor="text1"/>
          <w:sz w:val="22"/>
          <w:szCs w:val="22"/>
          <w:lang w:val="en-US"/>
        </w:rPr>
        <w:t>)</w:t>
      </w:r>
      <w:r w:rsidR="00DB38F3" w:rsidRPr="00172E83">
        <w:rPr>
          <w:rFonts w:ascii="Calibri" w:hAnsi="Calibri"/>
          <w:iCs/>
          <w:color w:val="000000" w:themeColor="text1"/>
          <w:sz w:val="22"/>
          <w:szCs w:val="22"/>
          <w:lang w:val="en-US"/>
        </w:rPr>
        <w:t>.</w:t>
      </w:r>
    </w:p>
    <w:p w14:paraId="5D40080C" w14:textId="3735704A" w:rsidR="00FB1A65" w:rsidRPr="00421706" w:rsidRDefault="00280BFD" w:rsidP="00280BFD">
      <w:pPr>
        <w:pStyle w:val="berschrift2"/>
        <w:spacing w:after="240"/>
        <w:rPr>
          <w:b/>
          <w:color w:val="000000" w:themeColor="text1"/>
          <w:lang w:val="en-US"/>
        </w:rPr>
      </w:pPr>
      <w:r w:rsidRPr="00421706">
        <w:rPr>
          <w:b/>
          <w:color w:val="000000" w:themeColor="text1"/>
          <w:lang w:val="en-US"/>
        </w:rPr>
        <w:t xml:space="preserve">2. </w:t>
      </w:r>
      <w:r w:rsidR="00FB1A65" w:rsidRPr="00421706">
        <w:rPr>
          <w:b/>
          <w:color w:val="000000" w:themeColor="text1"/>
          <w:lang w:val="en-US"/>
        </w:rPr>
        <w:t xml:space="preserve">Capital account regulation: </w:t>
      </w:r>
      <w:r w:rsidR="00421706">
        <w:rPr>
          <w:b/>
          <w:color w:val="000000" w:themeColor="text1"/>
          <w:lang w:val="en-US"/>
        </w:rPr>
        <w:t xml:space="preserve"> a</w:t>
      </w:r>
      <w:r w:rsidR="00701DEE" w:rsidRPr="00421706">
        <w:rPr>
          <w:b/>
          <w:color w:val="000000" w:themeColor="text1"/>
          <w:lang w:val="en-US"/>
        </w:rPr>
        <w:t xml:space="preserve">n overview </w:t>
      </w:r>
    </w:p>
    <w:p w14:paraId="7C81AC2B" w14:textId="77777777" w:rsidR="00D87C24" w:rsidRPr="00172E83" w:rsidRDefault="00FB1A65" w:rsidP="00783CA4">
      <w:pPr>
        <w:pStyle w:val="Padro"/>
        <w:spacing w:line="360" w:lineRule="auto"/>
        <w:jc w:val="both"/>
        <w:rPr>
          <w:rFonts w:asciiTheme="minorHAnsi" w:hAnsiTheme="minorHAnsi"/>
          <w:color w:val="000000" w:themeColor="text1"/>
          <w:sz w:val="22"/>
          <w:szCs w:val="22"/>
          <w:lang w:val="en-US"/>
        </w:rPr>
      </w:pPr>
      <w:r w:rsidRPr="00172E83">
        <w:rPr>
          <w:rFonts w:ascii="Calibri" w:hAnsi="Calibri"/>
          <w:color w:val="000000" w:themeColor="text1"/>
          <w:sz w:val="22"/>
          <w:szCs w:val="22"/>
          <w:lang w:val="en-US"/>
        </w:rPr>
        <w:t>For an astonishingly long time, t</w:t>
      </w:r>
      <w:r w:rsidR="00FF1855" w:rsidRPr="00172E83">
        <w:rPr>
          <w:rFonts w:ascii="Calibri" w:hAnsi="Calibri"/>
          <w:color w:val="000000" w:themeColor="text1"/>
          <w:sz w:val="22"/>
          <w:szCs w:val="22"/>
          <w:lang w:val="en-US"/>
        </w:rPr>
        <w:t xml:space="preserve">he dominant position </w:t>
      </w:r>
      <w:r w:rsidR="00D162F4" w:rsidRPr="00172E83">
        <w:rPr>
          <w:rFonts w:ascii="Calibri" w:hAnsi="Calibri"/>
          <w:color w:val="000000" w:themeColor="text1"/>
          <w:sz w:val="22"/>
          <w:szCs w:val="22"/>
          <w:lang w:val="en-US"/>
        </w:rPr>
        <w:t xml:space="preserve">had been </w:t>
      </w:r>
      <w:r w:rsidR="00783CA4" w:rsidRPr="00172E83">
        <w:rPr>
          <w:rFonts w:ascii="Calibri" w:hAnsi="Calibri"/>
          <w:color w:val="000000" w:themeColor="text1"/>
          <w:sz w:val="22"/>
          <w:szCs w:val="22"/>
          <w:lang w:val="en-US"/>
        </w:rPr>
        <w:t>to reject</w:t>
      </w:r>
      <w:r w:rsidR="00FF1855" w:rsidRPr="00172E83">
        <w:rPr>
          <w:rFonts w:ascii="Calibri" w:hAnsi="Calibri"/>
          <w:color w:val="000000" w:themeColor="text1"/>
          <w:sz w:val="22"/>
          <w:szCs w:val="22"/>
          <w:lang w:val="en-US"/>
        </w:rPr>
        <w:t xml:space="preserve"> capital controls</w:t>
      </w:r>
      <w:r w:rsidR="00783CA4" w:rsidRPr="00172E83">
        <w:rPr>
          <w:rFonts w:ascii="Calibri" w:hAnsi="Calibri"/>
          <w:color w:val="000000" w:themeColor="text1"/>
          <w:sz w:val="22"/>
          <w:szCs w:val="22"/>
          <w:lang w:val="en-US"/>
        </w:rPr>
        <w:t>,</w:t>
      </w:r>
      <w:r w:rsidR="00FF1855" w:rsidRPr="00172E83">
        <w:rPr>
          <w:rFonts w:ascii="Calibri" w:hAnsi="Calibri"/>
          <w:color w:val="000000" w:themeColor="text1"/>
          <w:sz w:val="22"/>
          <w:szCs w:val="22"/>
          <w:lang w:val="en-US"/>
        </w:rPr>
        <w:t xml:space="preserve"> based on neoclassical welfare theory. From this standpoint, there were three main arguments in favor of liberalized capital flows: </w:t>
      </w:r>
      <w:r w:rsidR="00FF1855" w:rsidRPr="00172E83">
        <w:rPr>
          <w:rFonts w:asciiTheme="minorHAnsi" w:hAnsiTheme="minorHAnsi"/>
          <w:color w:val="000000" w:themeColor="text1"/>
          <w:sz w:val="22"/>
          <w:szCs w:val="22"/>
          <w:lang w:val="en-US"/>
        </w:rPr>
        <w:t>First, intertemporal trade, that is temporary import of savings, would allow for intertemporal smoothing of investment and consumption, to be reversed later via an increased volume of produced goods and/or increased productivity (e.g. Dooley 1996). Second, given differing capital endowment – poor countries are assumed to be relatively rich in labor relative to domestically available capital, and rich countries are assumed to be the opposite – capital flows from rich to poor countries should allow for the easing of capital constraints in developing economies leading to higher investment and growth rates and reducing the price for capital, i.e. to interest rate parity in the long run. It should also allow for the international diffusion of new technology (i.e. World Bank 2001). Third, the international allocation of capital was seen as permitting better risk diversification</w:t>
      </w:r>
      <w:r w:rsidR="00D2191D" w:rsidRPr="00172E83">
        <w:rPr>
          <w:rFonts w:asciiTheme="minorHAnsi" w:hAnsiTheme="minorHAnsi"/>
          <w:color w:val="000000" w:themeColor="text1"/>
          <w:sz w:val="22"/>
          <w:szCs w:val="22"/>
          <w:lang w:val="en-US"/>
        </w:rPr>
        <w:t xml:space="preserve"> (Fettig 1996</w:t>
      </w:r>
      <w:r w:rsidR="00D2191D" w:rsidRPr="00172E83">
        <w:rPr>
          <w:rFonts w:asciiTheme="minorHAnsi" w:eastAsiaTheme="minorEastAsia" w:hAnsiTheme="minorHAnsi" w:cstheme="minorBidi"/>
          <w:color w:val="000000" w:themeColor="text1"/>
          <w:lang w:val="en-US"/>
        </w:rPr>
        <w:t>)</w:t>
      </w:r>
      <w:r w:rsidR="00FF1855" w:rsidRPr="00172E83">
        <w:rPr>
          <w:rFonts w:asciiTheme="minorHAnsi" w:hAnsiTheme="minorHAnsi"/>
          <w:color w:val="000000" w:themeColor="text1"/>
          <w:sz w:val="22"/>
          <w:szCs w:val="22"/>
          <w:lang w:val="en-US"/>
        </w:rPr>
        <w:t xml:space="preserve"> and the possibility of financing riskier projects. </w:t>
      </w:r>
      <w:r w:rsidR="00D60FA2" w:rsidRPr="00172E83">
        <w:rPr>
          <w:rFonts w:asciiTheme="minorHAnsi" w:hAnsiTheme="minorHAnsi"/>
          <w:color w:val="000000" w:themeColor="text1"/>
          <w:sz w:val="22"/>
          <w:szCs w:val="22"/>
          <w:lang w:val="en-US"/>
        </w:rPr>
        <w:t xml:space="preserve">Most studies in this period thus where interested mostly to see if capital controls were able to lengthen the maturity of </w:t>
      </w:r>
      <w:r w:rsidR="00DA0C03" w:rsidRPr="00172E83">
        <w:rPr>
          <w:rFonts w:asciiTheme="minorHAnsi" w:hAnsiTheme="minorHAnsi"/>
          <w:color w:val="000000" w:themeColor="text1"/>
          <w:sz w:val="22"/>
          <w:szCs w:val="22"/>
          <w:lang w:val="en-US"/>
        </w:rPr>
        <w:t>capital in</w:t>
      </w:r>
      <w:r w:rsidR="00D60FA2" w:rsidRPr="00172E83">
        <w:rPr>
          <w:rFonts w:asciiTheme="minorHAnsi" w:hAnsiTheme="minorHAnsi"/>
          <w:color w:val="000000" w:themeColor="text1"/>
          <w:sz w:val="22"/>
          <w:szCs w:val="22"/>
          <w:lang w:val="en-US"/>
        </w:rPr>
        <w:t>flows (i.e.  De Gregorio et al. 2000; Edwards 1999).</w:t>
      </w:r>
    </w:p>
    <w:p w14:paraId="15B6D879" w14:textId="77777777" w:rsidR="00FA2FFC" w:rsidRPr="00172E83" w:rsidRDefault="00783CA4">
      <w:pPr>
        <w:pStyle w:val="Padro"/>
        <w:spacing w:line="360" w:lineRule="auto"/>
        <w:jc w:val="both"/>
        <w:rPr>
          <w:rFonts w:ascii="Calibri" w:hAnsi="Calibri"/>
          <w:color w:val="000000" w:themeColor="text1"/>
          <w:sz w:val="22"/>
          <w:szCs w:val="22"/>
          <w:lang w:val="en-US"/>
        </w:rPr>
      </w:pPr>
      <w:r w:rsidRPr="00172E83">
        <w:rPr>
          <w:rFonts w:ascii="Calibri" w:hAnsi="Calibri"/>
          <w:color w:val="000000" w:themeColor="text1"/>
          <w:sz w:val="22"/>
          <w:szCs w:val="22"/>
          <w:lang w:val="en-US"/>
        </w:rPr>
        <w:t xml:space="preserve">The new wave of capital flows finally brought forward a macroeconomic perspective on the gains of regulating international capital flows in terms of reducing external and financial vulnerability. </w:t>
      </w:r>
      <w:r w:rsidR="00DA0C03" w:rsidRPr="00172E83">
        <w:rPr>
          <w:rFonts w:ascii="Calibri" w:hAnsi="Calibri"/>
          <w:color w:val="000000" w:themeColor="text1"/>
          <w:sz w:val="22"/>
          <w:szCs w:val="22"/>
          <w:lang w:val="en-US"/>
        </w:rPr>
        <w:t xml:space="preserve">The turn to a more supporting view was brought forward mostly </w:t>
      </w:r>
      <w:r w:rsidR="00D757F7" w:rsidRPr="00172E83">
        <w:rPr>
          <w:rFonts w:ascii="Calibri" w:hAnsi="Calibri"/>
          <w:color w:val="000000" w:themeColor="text1"/>
          <w:sz w:val="22"/>
          <w:szCs w:val="22"/>
          <w:lang w:val="en-US"/>
        </w:rPr>
        <w:t>the IMF</w:t>
      </w:r>
      <w:r w:rsidR="00DA0C03" w:rsidRPr="00172E83">
        <w:rPr>
          <w:rFonts w:ascii="Calibri" w:hAnsi="Calibri"/>
          <w:color w:val="000000" w:themeColor="text1"/>
          <w:sz w:val="22"/>
          <w:szCs w:val="22"/>
          <w:lang w:val="en-US"/>
        </w:rPr>
        <w:t xml:space="preserve"> with its </w:t>
      </w:r>
      <w:r w:rsidR="00D757F7" w:rsidRPr="00172E83">
        <w:rPr>
          <w:rFonts w:ascii="Calibri" w:hAnsi="Calibri"/>
          <w:color w:val="000000" w:themeColor="text1"/>
          <w:sz w:val="22"/>
          <w:szCs w:val="22"/>
          <w:lang w:val="en-US"/>
        </w:rPr>
        <w:t>new “institutional view” on capital account liberalization and capital controls (IMF 2012). In this and other related documents (Ostry et al. 201</w:t>
      </w:r>
      <w:r w:rsidR="00671F48" w:rsidRPr="00172E83">
        <w:rPr>
          <w:rFonts w:ascii="Calibri" w:hAnsi="Calibri"/>
          <w:color w:val="000000" w:themeColor="text1"/>
          <w:sz w:val="22"/>
          <w:szCs w:val="22"/>
          <w:lang w:val="en-US"/>
        </w:rPr>
        <w:t>0</w:t>
      </w:r>
      <w:r w:rsidR="00D757F7" w:rsidRPr="00172E83">
        <w:rPr>
          <w:rFonts w:ascii="Calibri" w:hAnsi="Calibri"/>
          <w:color w:val="000000" w:themeColor="text1"/>
          <w:sz w:val="22"/>
          <w:szCs w:val="22"/>
          <w:lang w:val="en-US"/>
        </w:rPr>
        <w:t>; IMF 2011) the IMF show</w:t>
      </w:r>
      <w:r w:rsidR="00BC57FD" w:rsidRPr="00172E83">
        <w:rPr>
          <w:rFonts w:ascii="Calibri" w:hAnsi="Calibri"/>
          <w:color w:val="000000" w:themeColor="text1"/>
          <w:sz w:val="22"/>
          <w:szCs w:val="22"/>
          <w:lang w:val="en-US"/>
        </w:rPr>
        <w:t>ed</w:t>
      </w:r>
      <w:r w:rsidR="00D757F7" w:rsidRPr="00172E83">
        <w:rPr>
          <w:rFonts w:ascii="Calibri" w:hAnsi="Calibri"/>
          <w:color w:val="000000" w:themeColor="text1"/>
          <w:sz w:val="22"/>
          <w:szCs w:val="22"/>
          <w:lang w:val="en-US"/>
        </w:rPr>
        <w:t xml:space="preserve"> remarkable changes in its approach towards international financial liberalization</w:t>
      </w:r>
      <w:r w:rsidR="00BC57FD" w:rsidRPr="00172E83">
        <w:rPr>
          <w:rFonts w:ascii="Calibri" w:hAnsi="Calibri"/>
          <w:color w:val="000000" w:themeColor="text1"/>
          <w:sz w:val="22"/>
          <w:szCs w:val="22"/>
          <w:lang w:val="en-US"/>
        </w:rPr>
        <w:t>. It acknowledged</w:t>
      </w:r>
      <w:r w:rsidR="00D757F7" w:rsidRPr="00172E83">
        <w:rPr>
          <w:rFonts w:ascii="Calibri" w:hAnsi="Calibri"/>
          <w:color w:val="000000" w:themeColor="text1"/>
          <w:sz w:val="22"/>
          <w:szCs w:val="22"/>
          <w:lang w:val="en-US"/>
        </w:rPr>
        <w:t xml:space="preserve"> that despite substantial benefits such as enhanc</w:t>
      </w:r>
      <w:r w:rsidR="00B93EE8" w:rsidRPr="00172E83">
        <w:rPr>
          <w:rFonts w:ascii="Calibri" w:hAnsi="Calibri"/>
          <w:color w:val="000000" w:themeColor="text1"/>
          <w:sz w:val="22"/>
          <w:szCs w:val="22"/>
          <w:lang w:val="en-US"/>
        </w:rPr>
        <w:t>ed</w:t>
      </w:r>
      <w:r w:rsidR="00D757F7" w:rsidRPr="00172E83">
        <w:rPr>
          <w:rFonts w:ascii="Calibri" w:hAnsi="Calibri"/>
          <w:color w:val="000000" w:themeColor="text1"/>
          <w:sz w:val="22"/>
          <w:szCs w:val="22"/>
          <w:lang w:val="en-US"/>
        </w:rPr>
        <w:t xml:space="preserve"> efficiency for receiving countries, rapid capital inflows and disruptive outflows also carry risks, especially when countries </w:t>
      </w:r>
      <w:r w:rsidR="00B93EE8" w:rsidRPr="00172E83">
        <w:rPr>
          <w:rFonts w:ascii="Calibri" w:hAnsi="Calibri"/>
          <w:color w:val="000000" w:themeColor="text1"/>
          <w:sz w:val="22"/>
          <w:szCs w:val="22"/>
          <w:lang w:val="en-US"/>
        </w:rPr>
        <w:t>have not attained</w:t>
      </w:r>
      <w:r w:rsidR="00D757F7" w:rsidRPr="00172E83">
        <w:rPr>
          <w:rFonts w:ascii="Calibri" w:hAnsi="Calibri"/>
          <w:color w:val="000000" w:themeColor="text1"/>
          <w:sz w:val="22"/>
          <w:szCs w:val="22"/>
          <w:lang w:val="en-US"/>
        </w:rPr>
        <w:t xml:space="preserve"> </w:t>
      </w:r>
      <w:r w:rsidR="00B93EE8" w:rsidRPr="00172E83">
        <w:rPr>
          <w:rFonts w:ascii="Calibri" w:hAnsi="Calibri"/>
          <w:color w:val="000000" w:themeColor="text1"/>
          <w:sz w:val="22"/>
          <w:szCs w:val="22"/>
          <w:lang w:val="en-US"/>
        </w:rPr>
        <w:t xml:space="preserve">a </w:t>
      </w:r>
      <w:r w:rsidR="00D757F7" w:rsidRPr="00172E83">
        <w:rPr>
          <w:rFonts w:ascii="Calibri" w:hAnsi="Calibri"/>
          <w:color w:val="000000" w:themeColor="text1"/>
          <w:sz w:val="22"/>
          <w:szCs w:val="22"/>
          <w:lang w:val="en-US"/>
        </w:rPr>
        <w:t xml:space="preserve">certain level of financial and institutional development. </w:t>
      </w:r>
      <w:r w:rsidR="00B93EE8" w:rsidRPr="00172E83">
        <w:rPr>
          <w:rFonts w:ascii="Calibri" w:hAnsi="Calibri"/>
          <w:color w:val="000000" w:themeColor="text1"/>
          <w:sz w:val="22"/>
          <w:szCs w:val="22"/>
          <w:lang w:val="en-US"/>
        </w:rPr>
        <w:t xml:space="preserve">From this angle, capital controls </w:t>
      </w:r>
      <w:r w:rsidR="00BC57FD" w:rsidRPr="00172E83">
        <w:rPr>
          <w:rFonts w:ascii="Calibri" w:hAnsi="Calibri"/>
          <w:color w:val="000000" w:themeColor="text1"/>
          <w:sz w:val="22"/>
          <w:szCs w:val="22"/>
          <w:lang w:val="en-US"/>
        </w:rPr>
        <w:t xml:space="preserve">turned to be seen as </w:t>
      </w:r>
      <w:r w:rsidR="00B93EE8" w:rsidRPr="00172E83">
        <w:rPr>
          <w:rFonts w:ascii="Calibri" w:hAnsi="Calibri"/>
          <w:color w:val="000000" w:themeColor="text1"/>
          <w:sz w:val="22"/>
          <w:szCs w:val="22"/>
          <w:lang w:val="en-US"/>
        </w:rPr>
        <w:t>useful</w:t>
      </w:r>
      <w:r w:rsidR="00B93EE8" w:rsidRPr="00172E83" w:rsidDel="00B93EE8">
        <w:rPr>
          <w:rFonts w:ascii="Calibri" w:hAnsi="Calibri"/>
          <w:color w:val="000000" w:themeColor="text1"/>
          <w:sz w:val="22"/>
          <w:szCs w:val="22"/>
          <w:lang w:val="en-US"/>
        </w:rPr>
        <w:t xml:space="preserve"> </w:t>
      </w:r>
      <w:r w:rsidR="00B93EE8" w:rsidRPr="00172E83">
        <w:rPr>
          <w:rFonts w:ascii="Calibri" w:hAnsi="Calibri"/>
          <w:color w:val="000000" w:themeColor="text1"/>
          <w:sz w:val="22"/>
          <w:szCs w:val="22"/>
          <w:lang w:val="en-US"/>
        </w:rPr>
        <w:t>in dealing</w:t>
      </w:r>
      <w:r w:rsidR="00D757F7" w:rsidRPr="00172E83">
        <w:rPr>
          <w:rFonts w:ascii="Calibri" w:hAnsi="Calibri"/>
          <w:color w:val="000000" w:themeColor="text1"/>
          <w:sz w:val="22"/>
          <w:szCs w:val="22"/>
          <w:lang w:val="en-US"/>
        </w:rPr>
        <w:t xml:space="preserve"> with the policy challenges of inflow surges and the risk of sudden outflows. In order to avoid the </w:t>
      </w:r>
      <w:r w:rsidR="00007519" w:rsidRPr="00172E83">
        <w:rPr>
          <w:rFonts w:ascii="Calibri" w:hAnsi="Calibri"/>
          <w:color w:val="000000" w:themeColor="text1"/>
          <w:sz w:val="22"/>
          <w:szCs w:val="22"/>
          <w:lang w:val="en-US"/>
        </w:rPr>
        <w:t>negative connotation of the term</w:t>
      </w:r>
      <w:r w:rsidR="00D757F7" w:rsidRPr="00172E83">
        <w:rPr>
          <w:rFonts w:ascii="Calibri" w:hAnsi="Calibri"/>
          <w:color w:val="000000" w:themeColor="text1"/>
          <w:sz w:val="22"/>
          <w:szCs w:val="22"/>
          <w:lang w:val="en-US"/>
        </w:rPr>
        <w:t xml:space="preserve"> “controls”, the IMF labeled its concept as </w:t>
      </w:r>
      <w:r w:rsidR="00007519" w:rsidRPr="00172E83">
        <w:rPr>
          <w:rFonts w:ascii="Calibri" w:hAnsi="Calibri"/>
          <w:color w:val="000000" w:themeColor="text1"/>
          <w:sz w:val="22"/>
          <w:szCs w:val="22"/>
          <w:lang w:val="en-US"/>
        </w:rPr>
        <w:t>“</w:t>
      </w:r>
      <w:r w:rsidR="00D757F7" w:rsidRPr="00172E83">
        <w:rPr>
          <w:rFonts w:ascii="Calibri" w:hAnsi="Calibri"/>
          <w:color w:val="000000" w:themeColor="text1"/>
          <w:sz w:val="22"/>
          <w:szCs w:val="22"/>
          <w:lang w:val="en-US"/>
        </w:rPr>
        <w:t xml:space="preserve">capital flow management </w:t>
      </w:r>
      <w:r w:rsidR="00FA6484" w:rsidRPr="00172E83">
        <w:rPr>
          <w:rFonts w:ascii="Calibri" w:hAnsi="Calibri"/>
          <w:color w:val="000000" w:themeColor="text1"/>
          <w:sz w:val="22"/>
          <w:szCs w:val="22"/>
          <w:lang w:val="en-US"/>
        </w:rPr>
        <w:t>measures</w:t>
      </w:r>
      <w:r w:rsidR="00007519" w:rsidRPr="00172E83">
        <w:rPr>
          <w:rFonts w:ascii="Calibri" w:hAnsi="Calibri"/>
          <w:color w:val="000000" w:themeColor="text1"/>
          <w:sz w:val="22"/>
          <w:szCs w:val="22"/>
          <w:lang w:val="en-US"/>
        </w:rPr>
        <w:t>”</w:t>
      </w:r>
      <w:r w:rsidR="00FA6484" w:rsidRPr="00172E83">
        <w:rPr>
          <w:rFonts w:ascii="Calibri" w:hAnsi="Calibri"/>
          <w:color w:val="000000" w:themeColor="text1"/>
          <w:sz w:val="22"/>
          <w:szCs w:val="22"/>
          <w:lang w:val="en-US"/>
        </w:rPr>
        <w:t xml:space="preserve"> </w:t>
      </w:r>
      <w:r w:rsidR="00D757F7" w:rsidRPr="00172E83">
        <w:rPr>
          <w:rFonts w:ascii="Calibri" w:hAnsi="Calibri"/>
          <w:color w:val="000000" w:themeColor="text1"/>
          <w:sz w:val="22"/>
          <w:szCs w:val="22"/>
          <w:lang w:val="en-US"/>
        </w:rPr>
        <w:t xml:space="preserve">(IMF 2011). </w:t>
      </w:r>
    </w:p>
    <w:p w14:paraId="229B4E56" w14:textId="18B27718" w:rsidR="00FA2FFC" w:rsidRPr="00172E83" w:rsidRDefault="00BC57FD" w:rsidP="00D162F4">
      <w:pPr>
        <w:pStyle w:val="Padro"/>
        <w:spacing w:line="360" w:lineRule="auto"/>
        <w:jc w:val="both"/>
        <w:rPr>
          <w:rFonts w:ascii="Calibri" w:hAnsi="Calibri"/>
          <w:color w:val="000000" w:themeColor="text1"/>
          <w:sz w:val="22"/>
          <w:szCs w:val="22"/>
          <w:lang w:val="en-US"/>
        </w:rPr>
      </w:pPr>
      <w:r w:rsidRPr="00172E83">
        <w:rPr>
          <w:rFonts w:ascii="Calibri" w:hAnsi="Calibri"/>
          <w:color w:val="000000" w:themeColor="text1"/>
          <w:sz w:val="22"/>
          <w:szCs w:val="22"/>
          <w:lang w:val="en-US"/>
        </w:rPr>
        <w:t xml:space="preserve">One of the major </w:t>
      </w:r>
      <w:r w:rsidR="00D162F4" w:rsidRPr="00172E83">
        <w:rPr>
          <w:rFonts w:ascii="Calibri" w:hAnsi="Calibri"/>
          <w:color w:val="000000" w:themeColor="text1"/>
          <w:sz w:val="22"/>
          <w:szCs w:val="22"/>
          <w:lang w:val="en-US"/>
        </w:rPr>
        <w:t xml:space="preserve">disputes </w:t>
      </w:r>
      <w:r w:rsidRPr="00172E83">
        <w:rPr>
          <w:rFonts w:ascii="Calibri" w:hAnsi="Calibri"/>
          <w:color w:val="000000" w:themeColor="text1"/>
          <w:sz w:val="22"/>
          <w:szCs w:val="22"/>
          <w:lang w:val="en-US"/>
        </w:rPr>
        <w:t xml:space="preserve">around this new approach </w:t>
      </w:r>
      <w:r w:rsidR="00D162F4" w:rsidRPr="00172E83">
        <w:rPr>
          <w:rFonts w:ascii="Calibri" w:hAnsi="Calibri"/>
          <w:color w:val="000000" w:themeColor="text1"/>
          <w:sz w:val="22"/>
          <w:szCs w:val="22"/>
          <w:lang w:val="en-US"/>
        </w:rPr>
        <w:t>is if these measures should be temporary, or of permanent nature. T</w:t>
      </w:r>
      <w:r w:rsidR="00D757F7" w:rsidRPr="00172E83">
        <w:rPr>
          <w:rFonts w:ascii="Calibri" w:hAnsi="Calibri"/>
          <w:color w:val="000000" w:themeColor="text1"/>
          <w:sz w:val="22"/>
          <w:szCs w:val="22"/>
          <w:lang w:val="en-US"/>
        </w:rPr>
        <w:t>he IMF conc</w:t>
      </w:r>
      <w:r w:rsidR="00D162F4" w:rsidRPr="00172E83">
        <w:rPr>
          <w:rFonts w:ascii="Calibri" w:hAnsi="Calibri"/>
          <w:color w:val="000000" w:themeColor="text1"/>
          <w:sz w:val="22"/>
          <w:szCs w:val="22"/>
          <w:lang w:val="en-US"/>
        </w:rPr>
        <w:t>e</w:t>
      </w:r>
      <w:r w:rsidR="00D757F7" w:rsidRPr="00172E83">
        <w:rPr>
          <w:rFonts w:ascii="Calibri" w:hAnsi="Calibri"/>
          <w:color w:val="000000" w:themeColor="text1"/>
          <w:sz w:val="22"/>
          <w:szCs w:val="22"/>
          <w:lang w:val="en-US"/>
        </w:rPr>
        <w:t xml:space="preserve">pt </w:t>
      </w:r>
      <w:r w:rsidR="00D162F4" w:rsidRPr="00172E83">
        <w:rPr>
          <w:rFonts w:ascii="Calibri" w:hAnsi="Calibri"/>
          <w:color w:val="000000" w:themeColor="text1"/>
          <w:sz w:val="22"/>
          <w:szCs w:val="22"/>
          <w:lang w:val="en-US"/>
        </w:rPr>
        <w:t>continues seeing these as an instrument only for especially turbulent times</w:t>
      </w:r>
      <w:r w:rsidR="00D757F7" w:rsidRPr="00172E83">
        <w:rPr>
          <w:rFonts w:ascii="Calibri" w:hAnsi="Calibri"/>
          <w:color w:val="000000" w:themeColor="text1"/>
          <w:sz w:val="22"/>
          <w:szCs w:val="22"/>
          <w:lang w:val="en-US"/>
        </w:rPr>
        <w:t xml:space="preserve">: “The temporary re-imposition of </w:t>
      </w:r>
      <w:r w:rsidR="00FA6484" w:rsidRPr="00172E83">
        <w:rPr>
          <w:rFonts w:ascii="Calibri" w:hAnsi="Calibri"/>
          <w:color w:val="000000" w:themeColor="text1"/>
          <w:sz w:val="22"/>
          <w:szCs w:val="22"/>
          <w:lang w:val="en-US"/>
        </w:rPr>
        <w:t>c</w:t>
      </w:r>
      <w:r w:rsidR="009F64F0" w:rsidRPr="00172E83">
        <w:rPr>
          <w:rFonts w:ascii="Calibri" w:hAnsi="Calibri"/>
          <w:color w:val="000000" w:themeColor="text1"/>
          <w:sz w:val="22"/>
          <w:szCs w:val="22"/>
          <w:lang w:val="en-US"/>
        </w:rPr>
        <w:t>apital flow management measures</w:t>
      </w:r>
      <w:r w:rsidR="00D757F7" w:rsidRPr="00172E83">
        <w:rPr>
          <w:rFonts w:ascii="Calibri" w:hAnsi="Calibri"/>
          <w:color w:val="000000" w:themeColor="text1"/>
          <w:sz w:val="22"/>
          <w:szCs w:val="22"/>
          <w:lang w:val="en-US"/>
        </w:rPr>
        <w:t xml:space="preserve"> under certain circumstances is consistent with an overall strategy of capital flow liberalization” (IMF 2012</w:t>
      </w:r>
      <w:r w:rsidR="004A7A7A" w:rsidRPr="00172E83">
        <w:rPr>
          <w:rFonts w:ascii="Calibri" w:hAnsi="Calibri"/>
          <w:color w:val="000000" w:themeColor="text1"/>
          <w:sz w:val="22"/>
          <w:szCs w:val="22"/>
          <w:lang w:val="en-US"/>
        </w:rPr>
        <w:t xml:space="preserve">: </w:t>
      </w:r>
      <w:r w:rsidR="00D757F7" w:rsidRPr="00172E83">
        <w:rPr>
          <w:rFonts w:ascii="Calibri" w:hAnsi="Calibri"/>
          <w:color w:val="000000" w:themeColor="text1"/>
          <w:sz w:val="22"/>
          <w:szCs w:val="22"/>
          <w:lang w:val="en-US"/>
        </w:rPr>
        <w:t xml:space="preserve">15). </w:t>
      </w:r>
      <w:r w:rsidR="00D162F4" w:rsidRPr="00172E83">
        <w:rPr>
          <w:rFonts w:ascii="Calibri" w:hAnsi="Calibri"/>
          <w:color w:val="000000" w:themeColor="text1"/>
          <w:sz w:val="22"/>
          <w:szCs w:val="22"/>
          <w:lang w:val="en-US"/>
        </w:rPr>
        <w:t>Also</w:t>
      </w:r>
      <w:r w:rsidR="00D757F7" w:rsidRPr="00172E83">
        <w:rPr>
          <w:rFonts w:ascii="Calibri" w:hAnsi="Calibri"/>
          <w:color w:val="000000" w:themeColor="text1"/>
          <w:sz w:val="22"/>
          <w:szCs w:val="22"/>
          <w:lang w:val="en-US"/>
        </w:rPr>
        <w:t>, the</w:t>
      </w:r>
      <w:r w:rsidR="00007519" w:rsidRPr="00172E83">
        <w:rPr>
          <w:rFonts w:ascii="Calibri" w:hAnsi="Calibri"/>
          <w:color w:val="000000" w:themeColor="text1"/>
          <w:sz w:val="22"/>
          <w:szCs w:val="22"/>
          <w:lang w:val="en-US"/>
        </w:rPr>
        <w:t>se measures</w:t>
      </w:r>
      <w:r w:rsidR="00D757F7" w:rsidRPr="00172E83">
        <w:rPr>
          <w:rFonts w:ascii="Calibri" w:hAnsi="Calibri"/>
          <w:color w:val="000000" w:themeColor="text1"/>
          <w:sz w:val="22"/>
          <w:szCs w:val="22"/>
          <w:lang w:val="en-US"/>
        </w:rPr>
        <w:t xml:space="preserve"> should only be applied temporarily and when macroeconomic policies such as monetary, fiscal and exchange rate policies are exhausted and sound financial supervision and regulation exercised by strong institutions is in place (ibid, IMF 2012</w:t>
      </w:r>
      <w:r w:rsidR="004A7A7A" w:rsidRPr="00172E83">
        <w:rPr>
          <w:rFonts w:ascii="Calibri" w:hAnsi="Calibri"/>
          <w:color w:val="000000" w:themeColor="text1"/>
          <w:sz w:val="22"/>
          <w:szCs w:val="22"/>
          <w:lang w:val="en-US"/>
        </w:rPr>
        <w:t xml:space="preserve">: </w:t>
      </w:r>
      <w:r w:rsidR="00D757F7" w:rsidRPr="00172E83">
        <w:rPr>
          <w:rFonts w:ascii="Calibri" w:hAnsi="Calibri"/>
          <w:color w:val="000000" w:themeColor="text1"/>
          <w:sz w:val="22"/>
          <w:szCs w:val="22"/>
          <w:lang w:val="en-US"/>
        </w:rPr>
        <w:t xml:space="preserve">19). </w:t>
      </w:r>
      <w:r w:rsidR="00D162F4" w:rsidRPr="00172E83">
        <w:rPr>
          <w:rFonts w:ascii="Calibri" w:hAnsi="Calibri"/>
          <w:color w:val="000000" w:themeColor="text1"/>
          <w:sz w:val="22"/>
          <w:szCs w:val="22"/>
          <w:lang w:val="en-US"/>
        </w:rPr>
        <w:t xml:space="preserve">Others (i.e. </w:t>
      </w:r>
      <w:r w:rsidR="00D757F7" w:rsidRPr="00172E83">
        <w:rPr>
          <w:rFonts w:ascii="Calibri" w:hAnsi="Calibri"/>
          <w:color w:val="000000" w:themeColor="text1"/>
          <w:sz w:val="22"/>
          <w:szCs w:val="22"/>
          <w:lang w:val="en-US"/>
        </w:rPr>
        <w:t>Gallagher</w:t>
      </w:r>
      <w:r w:rsidR="004A7A7A" w:rsidRPr="00172E83">
        <w:rPr>
          <w:rFonts w:ascii="Calibri" w:hAnsi="Calibri"/>
          <w:color w:val="000000" w:themeColor="text1"/>
          <w:sz w:val="22"/>
          <w:szCs w:val="22"/>
          <w:lang w:val="en-US"/>
        </w:rPr>
        <w:t xml:space="preserve"> et al. </w:t>
      </w:r>
      <w:r w:rsidR="00D162F4" w:rsidRPr="00172E83">
        <w:rPr>
          <w:rFonts w:ascii="Calibri" w:hAnsi="Calibri"/>
          <w:color w:val="000000" w:themeColor="text1"/>
          <w:sz w:val="22"/>
          <w:szCs w:val="22"/>
          <w:lang w:val="en-US"/>
        </w:rPr>
        <w:t>2012)</w:t>
      </w:r>
      <w:r w:rsidR="00D757F7" w:rsidRPr="00172E83">
        <w:rPr>
          <w:rFonts w:ascii="Calibri" w:hAnsi="Calibri"/>
          <w:color w:val="000000" w:themeColor="text1"/>
          <w:sz w:val="22"/>
          <w:szCs w:val="22"/>
          <w:lang w:val="en-US"/>
        </w:rPr>
        <w:t xml:space="preserve"> </w:t>
      </w:r>
      <w:r w:rsidR="00D162F4" w:rsidRPr="00172E83">
        <w:rPr>
          <w:rFonts w:ascii="Calibri" w:hAnsi="Calibri"/>
          <w:color w:val="000000" w:themeColor="text1"/>
          <w:sz w:val="22"/>
          <w:szCs w:val="22"/>
          <w:lang w:val="en-US"/>
        </w:rPr>
        <w:t xml:space="preserve">criticize this approach </w:t>
      </w:r>
      <w:r w:rsidR="00D757F7" w:rsidRPr="00172E83">
        <w:rPr>
          <w:rFonts w:ascii="Calibri" w:hAnsi="Calibri"/>
          <w:color w:val="000000" w:themeColor="text1"/>
          <w:sz w:val="22"/>
          <w:szCs w:val="22"/>
          <w:lang w:val="en-US"/>
        </w:rPr>
        <w:t xml:space="preserve">as being too narrow. First, </w:t>
      </w:r>
      <w:r w:rsidR="00007519" w:rsidRPr="00172E83">
        <w:rPr>
          <w:rFonts w:ascii="Calibri" w:hAnsi="Calibri"/>
          <w:color w:val="000000" w:themeColor="text1"/>
          <w:sz w:val="22"/>
          <w:szCs w:val="22"/>
          <w:lang w:val="en-US"/>
        </w:rPr>
        <w:t xml:space="preserve">for </w:t>
      </w:r>
      <w:r w:rsidR="00D757F7" w:rsidRPr="00172E83">
        <w:rPr>
          <w:rFonts w:ascii="Calibri" w:hAnsi="Calibri"/>
          <w:color w:val="000000" w:themeColor="text1"/>
          <w:sz w:val="22"/>
          <w:szCs w:val="22"/>
          <w:lang w:val="en-US"/>
        </w:rPr>
        <w:t>not taking into account theoretical and empirical work on the limited effectiveness and risks associated with international financial liberalization. Second, in the view of these authors, a framework for</w:t>
      </w:r>
      <w:r w:rsidR="00DB5949" w:rsidRPr="00172E83">
        <w:rPr>
          <w:rFonts w:ascii="Calibri" w:hAnsi="Calibri"/>
          <w:color w:val="000000" w:themeColor="text1"/>
          <w:sz w:val="22"/>
          <w:szCs w:val="22"/>
          <w:lang w:val="en-US"/>
        </w:rPr>
        <w:t xml:space="preserve"> </w:t>
      </w:r>
      <w:r w:rsidR="00FA6484" w:rsidRPr="00172E83">
        <w:rPr>
          <w:rFonts w:ascii="Calibri" w:hAnsi="Calibri"/>
          <w:color w:val="000000" w:themeColor="text1"/>
          <w:sz w:val="22"/>
          <w:szCs w:val="22"/>
          <w:lang w:val="en-US"/>
        </w:rPr>
        <w:t>capital account regulation</w:t>
      </w:r>
      <w:r w:rsidR="009F64F0" w:rsidRPr="00172E83">
        <w:rPr>
          <w:rFonts w:ascii="Calibri" w:hAnsi="Calibri"/>
          <w:color w:val="000000" w:themeColor="text1"/>
          <w:sz w:val="22"/>
          <w:szCs w:val="22"/>
          <w:lang w:val="en-US"/>
        </w:rPr>
        <w:t xml:space="preserve"> </w:t>
      </w:r>
      <w:r w:rsidR="00D757F7" w:rsidRPr="00172E83">
        <w:rPr>
          <w:rFonts w:ascii="Calibri" w:hAnsi="Calibri"/>
          <w:color w:val="000000" w:themeColor="text1"/>
          <w:sz w:val="22"/>
          <w:szCs w:val="22"/>
          <w:lang w:val="en-US"/>
        </w:rPr>
        <w:t>should enable recipient countries to pursue counter-cyclical policies to shield them</w:t>
      </w:r>
      <w:r w:rsidR="00007519" w:rsidRPr="00172E83">
        <w:rPr>
          <w:rFonts w:ascii="Calibri" w:hAnsi="Calibri"/>
          <w:color w:val="000000" w:themeColor="text1"/>
          <w:sz w:val="22"/>
          <w:szCs w:val="22"/>
          <w:lang w:val="en-US"/>
        </w:rPr>
        <w:t>selves</w:t>
      </w:r>
      <w:r w:rsidR="00D757F7" w:rsidRPr="00172E83">
        <w:rPr>
          <w:rFonts w:ascii="Calibri" w:hAnsi="Calibri"/>
          <w:color w:val="000000" w:themeColor="text1"/>
          <w:sz w:val="22"/>
          <w:szCs w:val="22"/>
          <w:lang w:val="en-US"/>
        </w:rPr>
        <w:t xml:space="preserve"> from global financial shocks and </w:t>
      </w:r>
      <w:r w:rsidR="00007519" w:rsidRPr="00172E83">
        <w:rPr>
          <w:rFonts w:ascii="Calibri" w:hAnsi="Calibri"/>
          <w:color w:val="000000" w:themeColor="text1"/>
          <w:sz w:val="22"/>
          <w:szCs w:val="22"/>
          <w:lang w:val="en-US"/>
        </w:rPr>
        <w:t>allow</w:t>
      </w:r>
      <w:r w:rsidR="00D757F7" w:rsidRPr="00172E83">
        <w:rPr>
          <w:rFonts w:ascii="Calibri" w:hAnsi="Calibri"/>
          <w:color w:val="000000" w:themeColor="text1"/>
          <w:sz w:val="22"/>
          <w:szCs w:val="22"/>
          <w:lang w:val="en-US"/>
        </w:rPr>
        <w:t xml:space="preserve"> them to pursue a macroeconomic policy mix </w:t>
      </w:r>
      <w:r w:rsidR="00007519" w:rsidRPr="00172E83">
        <w:rPr>
          <w:rFonts w:ascii="Calibri" w:hAnsi="Calibri"/>
          <w:color w:val="000000" w:themeColor="text1"/>
          <w:sz w:val="22"/>
          <w:szCs w:val="22"/>
          <w:lang w:val="en-US"/>
        </w:rPr>
        <w:t xml:space="preserve">befitting </w:t>
      </w:r>
      <w:r w:rsidR="00D757F7" w:rsidRPr="00172E83">
        <w:rPr>
          <w:rFonts w:ascii="Calibri" w:hAnsi="Calibri"/>
          <w:color w:val="000000" w:themeColor="text1"/>
          <w:sz w:val="22"/>
          <w:szCs w:val="22"/>
          <w:lang w:val="en-US"/>
        </w:rPr>
        <w:t>the country’s requirements</w:t>
      </w:r>
      <w:r w:rsidR="00007519" w:rsidRPr="00172E83">
        <w:rPr>
          <w:rFonts w:ascii="Calibri" w:hAnsi="Calibri"/>
          <w:color w:val="000000" w:themeColor="text1"/>
          <w:sz w:val="22"/>
          <w:szCs w:val="22"/>
          <w:lang w:val="en-US"/>
        </w:rPr>
        <w:t xml:space="preserve">, constituting </w:t>
      </w:r>
      <w:r w:rsidR="00D757F7" w:rsidRPr="00172E83">
        <w:rPr>
          <w:rFonts w:ascii="Calibri" w:hAnsi="Calibri"/>
          <w:color w:val="000000" w:themeColor="text1"/>
          <w:sz w:val="22"/>
          <w:szCs w:val="22"/>
          <w:lang w:val="en-US"/>
        </w:rPr>
        <w:t xml:space="preserve">a permanent part of the economic policy toolkit of developing and emerging market economies. These authors propose a framework for </w:t>
      </w:r>
      <w:r w:rsidR="006962DC" w:rsidRPr="00172E83">
        <w:rPr>
          <w:rFonts w:ascii="Calibri" w:hAnsi="Calibri"/>
          <w:color w:val="000000" w:themeColor="text1"/>
          <w:sz w:val="22"/>
          <w:szCs w:val="22"/>
          <w:lang w:val="en-US"/>
        </w:rPr>
        <w:t>‘</w:t>
      </w:r>
      <w:r w:rsidR="003C13F4" w:rsidRPr="00172E83">
        <w:rPr>
          <w:rFonts w:ascii="Calibri" w:hAnsi="Calibri"/>
          <w:color w:val="000000" w:themeColor="text1"/>
          <w:sz w:val="22"/>
          <w:szCs w:val="22"/>
          <w:lang w:val="en-US"/>
        </w:rPr>
        <w:t>capital account regulation</w:t>
      </w:r>
      <w:r w:rsidR="006962DC" w:rsidRPr="00172E83">
        <w:rPr>
          <w:rFonts w:ascii="Calibri" w:hAnsi="Calibri"/>
          <w:color w:val="000000" w:themeColor="text1"/>
          <w:sz w:val="22"/>
          <w:szCs w:val="22"/>
          <w:lang w:val="en-US"/>
        </w:rPr>
        <w:t>’</w:t>
      </w:r>
      <w:r w:rsidR="003C13F4" w:rsidRPr="00172E83">
        <w:rPr>
          <w:rFonts w:ascii="Calibri" w:hAnsi="Calibri"/>
          <w:color w:val="000000" w:themeColor="text1"/>
          <w:sz w:val="22"/>
          <w:szCs w:val="22"/>
          <w:lang w:val="en-US"/>
        </w:rPr>
        <w:t xml:space="preserve"> </w:t>
      </w:r>
      <w:r w:rsidR="009F64F0" w:rsidRPr="00172E83">
        <w:rPr>
          <w:rFonts w:ascii="Calibri" w:hAnsi="Calibri"/>
          <w:color w:val="000000" w:themeColor="text1"/>
          <w:sz w:val="22"/>
          <w:szCs w:val="22"/>
          <w:lang w:val="en-US"/>
        </w:rPr>
        <w:t>(CAR)</w:t>
      </w:r>
      <w:r w:rsidR="006962DC" w:rsidRPr="00172E83">
        <w:rPr>
          <w:rFonts w:ascii="Calibri" w:hAnsi="Calibri"/>
          <w:color w:val="000000" w:themeColor="text1"/>
          <w:sz w:val="22"/>
          <w:szCs w:val="22"/>
          <w:lang w:val="en-US"/>
        </w:rPr>
        <w:t>,</w:t>
      </w:r>
      <w:r w:rsidR="009F64F0" w:rsidRPr="00172E83">
        <w:rPr>
          <w:rFonts w:ascii="Calibri" w:hAnsi="Calibri"/>
          <w:color w:val="000000" w:themeColor="text1"/>
          <w:sz w:val="22"/>
          <w:szCs w:val="22"/>
          <w:lang w:val="en-US"/>
        </w:rPr>
        <w:t xml:space="preserve"> </w:t>
      </w:r>
      <w:r w:rsidR="006962DC" w:rsidRPr="00172E83">
        <w:rPr>
          <w:rFonts w:ascii="Calibri" w:hAnsi="Calibri"/>
          <w:color w:val="000000" w:themeColor="text1"/>
          <w:sz w:val="22"/>
          <w:szCs w:val="22"/>
          <w:lang w:val="en-US"/>
        </w:rPr>
        <w:t xml:space="preserve">as an analogy to (also permanent) financial regulation, </w:t>
      </w:r>
      <w:r w:rsidR="00D757F7" w:rsidRPr="00172E83">
        <w:rPr>
          <w:rFonts w:ascii="Calibri" w:hAnsi="Calibri"/>
          <w:color w:val="000000" w:themeColor="text1"/>
          <w:sz w:val="22"/>
          <w:szCs w:val="22"/>
          <w:lang w:val="en-US"/>
        </w:rPr>
        <w:t>that should enable recipient countries to pursue counter-cyclical policies</w:t>
      </w:r>
      <w:r w:rsidR="00007519" w:rsidRPr="00172E83">
        <w:rPr>
          <w:rFonts w:ascii="Calibri" w:hAnsi="Calibri"/>
          <w:color w:val="000000" w:themeColor="text1"/>
          <w:sz w:val="22"/>
          <w:szCs w:val="22"/>
          <w:lang w:val="en-US"/>
        </w:rPr>
        <w:t xml:space="preserve"> in an attempt</w:t>
      </w:r>
      <w:r w:rsidR="00D757F7" w:rsidRPr="00172E83">
        <w:rPr>
          <w:rFonts w:ascii="Calibri" w:hAnsi="Calibri"/>
          <w:color w:val="000000" w:themeColor="text1"/>
          <w:sz w:val="22"/>
          <w:szCs w:val="22"/>
          <w:lang w:val="en-US"/>
        </w:rPr>
        <w:t xml:space="preserve"> to</w:t>
      </w:r>
      <w:r w:rsidR="00007519" w:rsidRPr="00172E83">
        <w:rPr>
          <w:rFonts w:ascii="Calibri" w:hAnsi="Calibri"/>
          <w:color w:val="000000" w:themeColor="text1"/>
          <w:sz w:val="22"/>
          <w:szCs w:val="22"/>
          <w:lang w:val="en-US"/>
        </w:rPr>
        <w:t xml:space="preserve"> both</w:t>
      </w:r>
      <w:r w:rsidR="00D757F7" w:rsidRPr="00172E83">
        <w:rPr>
          <w:rFonts w:ascii="Calibri" w:hAnsi="Calibri"/>
          <w:color w:val="000000" w:themeColor="text1"/>
          <w:sz w:val="22"/>
          <w:szCs w:val="22"/>
          <w:lang w:val="en-US"/>
        </w:rPr>
        <w:t xml:space="preserve"> shield them</w:t>
      </w:r>
      <w:r w:rsidR="00007519" w:rsidRPr="00172E83">
        <w:rPr>
          <w:rFonts w:ascii="Calibri" w:hAnsi="Calibri"/>
          <w:color w:val="000000" w:themeColor="text1"/>
          <w:sz w:val="22"/>
          <w:szCs w:val="22"/>
          <w:lang w:val="en-US"/>
        </w:rPr>
        <w:t>selves</w:t>
      </w:r>
      <w:r w:rsidR="00D757F7" w:rsidRPr="00172E83">
        <w:rPr>
          <w:rFonts w:ascii="Calibri" w:hAnsi="Calibri"/>
          <w:color w:val="000000" w:themeColor="text1"/>
          <w:sz w:val="22"/>
          <w:szCs w:val="22"/>
          <w:lang w:val="en-US"/>
        </w:rPr>
        <w:t xml:space="preserve"> from global financial shocks and </w:t>
      </w:r>
      <w:r w:rsidR="005105F0" w:rsidRPr="00172E83">
        <w:rPr>
          <w:rFonts w:ascii="Calibri" w:hAnsi="Calibri"/>
          <w:color w:val="000000" w:themeColor="text1"/>
          <w:sz w:val="22"/>
          <w:szCs w:val="22"/>
          <w:lang w:val="en-US"/>
        </w:rPr>
        <w:t xml:space="preserve">increase their policy space </w:t>
      </w:r>
      <w:r w:rsidR="00D757F7" w:rsidRPr="00172E83">
        <w:rPr>
          <w:rFonts w:ascii="Calibri" w:hAnsi="Calibri"/>
          <w:color w:val="000000" w:themeColor="text1"/>
          <w:sz w:val="22"/>
          <w:szCs w:val="22"/>
          <w:lang w:val="en-US"/>
        </w:rPr>
        <w:t>pursu</w:t>
      </w:r>
      <w:r w:rsidR="00007519" w:rsidRPr="00172E83">
        <w:rPr>
          <w:rFonts w:ascii="Calibri" w:hAnsi="Calibri"/>
          <w:color w:val="000000" w:themeColor="text1"/>
          <w:sz w:val="22"/>
          <w:szCs w:val="22"/>
          <w:lang w:val="en-US"/>
        </w:rPr>
        <w:t>ing</w:t>
      </w:r>
      <w:r w:rsidR="00D757F7" w:rsidRPr="00172E83">
        <w:rPr>
          <w:rFonts w:ascii="Calibri" w:hAnsi="Calibri"/>
          <w:color w:val="000000" w:themeColor="text1"/>
          <w:sz w:val="22"/>
          <w:szCs w:val="22"/>
          <w:lang w:val="en-US"/>
        </w:rPr>
        <w:t xml:space="preserve"> a macroeconomic policy mix appropriate to the country’s requirements. </w:t>
      </w:r>
    </w:p>
    <w:p w14:paraId="3B18EB72" w14:textId="77777777" w:rsidR="008F25DA" w:rsidRPr="00172E83" w:rsidRDefault="00AC2796">
      <w:pPr>
        <w:pStyle w:val="Padro"/>
        <w:spacing w:line="360" w:lineRule="auto"/>
        <w:jc w:val="both"/>
        <w:rPr>
          <w:rFonts w:ascii="Calibri" w:hAnsi="Calibri"/>
          <w:color w:val="000000" w:themeColor="text1"/>
          <w:sz w:val="22"/>
          <w:szCs w:val="22"/>
          <w:lang w:val="en-US"/>
        </w:rPr>
      </w:pPr>
      <w:r w:rsidRPr="00172E83">
        <w:rPr>
          <w:rFonts w:ascii="Calibri" w:hAnsi="Calibri"/>
          <w:color w:val="000000" w:themeColor="text1"/>
          <w:sz w:val="22"/>
          <w:szCs w:val="22"/>
          <w:lang w:val="en-US"/>
        </w:rPr>
        <w:t xml:space="preserve">Despite the relevance given to this topic, Rodrik (2010) stated: “We currently do not know much about designing capital control regimes. The taboo that has attached to capital controls has discouraged practical, policy-oriented work that would help to manage capital flows directly” (Rodrik 2010). Especially the </w:t>
      </w:r>
      <w:r w:rsidR="003E26FD" w:rsidRPr="00172E83">
        <w:rPr>
          <w:rFonts w:ascii="Calibri" w:hAnsi="Calibri"/>
          <w:color w:val="000000" w:themeColor="text1"/>
          <w:sz w:val="22"/>
          <w:szCs w:val="22"/>
          <w:lang w:val="en-US"/>
        </w:rPr>
        <w:t>comparability of different CAR measures has gained much less attention in this debate</w:t>
      </w:r>
      <w:r w:rsidRPr="00172E83">
        <w:rPr>
          <w:rFonts w:ascii="Calibri" w:hAnsi="Calibri"/>
          <w:color w:val="000000" w:themeColor="text1"/>
          <w:sz w:val="22"/>
          <w:szCs w:val="22"/>
          <w:lang w:val="en-US"/>
        </w:rPr>
        <w:t xml:space="preserve">. It still holds, to a certain degree, what </w:t>
      </w:r>
      <w:r w:rsidR="00D757F7" w:rsidRPr="00172E83">
        <w:rPr>
          <w:rFonts w:ascii="Calibri" w:hAnsi="Calibri"/>
          <w:color w:val="000000" w:themeColor="text1"/>
          <w:sz w:val="22"/>
          <w:szCs w:val="22"/>
          <w:lang w:val="en-US"/>
        </w:rPr>
        <w:t>Magud et al. (2011) call an “apples-to-oranges-problem”</w:t>
      </w:r>
      <w:r w:rsidR="008F25DA" w:rsidRPr="00172E83">
        <w:rPr>
          <w:rFonts w:ascii="Calibri" w:hAnsi="Calibri"/>
          <w:color w:val="000000" w:themeColor="text1"/>
          <w:sz w:val="22"/>
          <w:szCs w:val="22"/>
          <w:lang w:val="en-US"/>
        </w:rPr>
        <w:t xml:space="preserve">: </w:t>
      </w:r>
      <w:r w:rsidR="0000690F" w:rsidRPr="00172E83">
        <w:rPr>
          <w:rFonts w:ascii="Calibri" w:hAnsi="Calibri"/>
          <w:color w:val="000000" w:themeColor="text1"/>
          <w:sz w:val="22"/>
          <w:szCs w:val="22"/>
          <w:lang w:val="en-US"/>
        </w:rPr>
        <w:t>m</w:t>
      </w:r>
      <w:r w:rsidR="008F25DA" w:rsidRPr="00172E83">
        <w:rPr>
          <w:rFonts w:ascii="Calibri" w:hAnsi="Calibri"/>
          <w:color w:val="000000" w:themeColor="text1"/>
          <w:sz w:val="22"/>
          <w:szCs w:val="22"/>
          <w:lang w:val="en-US"/>
        </w:rPr>
        <w:t xml:space="preserve">ost studies, to </w:t>
      </w:r>
      <w:r w:rsidR="0000690F" w:rsidRPr="00172E83">
        <w:rPr>
          <w:rFonts w:ascii="Calibri" w:hAnsi="Calibri"/>
          <w:color w:val="000000" w:themeColor="text1"/>
          <w:sz w:val="22"/>
          <w:szCs w:val="22"/>
          <w:lang w:val="en-US"/>
        </w:rPr>
        <w:t>our knowledge, do</w:t>
      </w:r>
      <w:r w:rsidR="00D757F7" w:rsidRPr="00172E83">
        <w:rPr>
          <w:rFonts w:ascii="Calibri" w:hAnsi="Calibri"/>
          <w:color w:val="000000" w:themeColor="text1"/>
          <w:sz w:val="22"/>
          <w:szCs w:val="22"/>
          <w:lang w:val="en-US"/>
        </w:rPr>
        <w:t xml:space="preserve"> not systematically consider heterogeneity in time and space regarding the macroeconomic context.  </w:t>
      </w:r>
    </w:p>
    <w:p w14:paraId="460D42B7" w14:textId="77777777" w:rsidR="00FA2FFC" w:rsidRPr="00172E83" w:rsidRDefault="008F25DA">
      <w:pPr>
        <w:pStyle w:val="Padro"/>
        <w:spacing w:line="360" w:lineRule="auto"/>
        <w:jc w:val="both"/>
        <w:rPr>
          <w:rFonts w:ascii="Calibri" w:hAnsi="Calibri"/>
          <w:color w:val="000000" w:themeColor="text1"/>
          <w:sz w:val="22"/>
          <w:szCs w:val="22"/>
          <w:lang w:val="en-US"/>
        </w:rPr>
      </w:pPr>
      <w:r w:rsidRPr="00172E83">
        <w:rPr>
          <w:rFonts w:ascii="Calibri" w:hAnsi="Calibri"/>
          <w:color w:val="000000" w:themeColor="text1"/>
          <w:sz w:val="22"/>
          <w:szCs w:val="22"/>
          <w:lang w:val="en-US"/>
        </w:rPr>
        <w:t xml:space="preserve">This heterogeneity can be organized in </w:t>
      </w:r>
      <w:r w:rsidR="00BC3FC3" w:rsidRPr="00172E83">
        <w:rPr>
          <w:rFonts w:ascii="Calibri" w:hAnsi="Calibri"/>
          <w:color w:val="000000" w:themeColor="text1"/>
          <w:sz w:val="22"/>
          <w:szCs w:val="22"/>
          <w:lang w:val="en-US"/>
        </w:rPr>
        <w:t xml:space="preserve">three </w:t>
      </w:r>
      <w:r w:rsidRPr="00172E83">
        <w:rPr>
          <w:rFonts w:ascii="Calibri" w:hAnsi="Calibri"/>
          <w:color w:val="000000" w:themeColor="text1"/>
          <w:sz w:val="22"/>
          <w:szCs w:val="22"/>
          <w:lang w:val="en-US"/>
        </w:rPr>
        <w:t xml:space="preserve">main categories, </w:t>
      </w:r>
      <w:r w:rsidR="006962DC" w:rsidRPr="00172E83">
        <w:rPr>
          <w:rFonts w:ascii="Calibri" w:hAnsi="Calibri"/>
          <w:color w:val="000000" w:themeColor="text1"/>
          <w:sz w:val="22"/>
          <w:szCs w:val="22"/>
          <w:lang w:val="en-US"/>
        </w:rPr>
        <w:t>following Magud et al. (2011):</w:t>
      </w:r>
      <w:r w:rsidRPr="00172E83">
        <w:rPr>
          <w:rFonts w:ascii="Calibri" w:hAnsi="Calibri"/>
          <w:color w:val="000000" w:themeColor="text1"/>
          <w:sz w:val="22"/>
          <w:szCs w:val="22"/>
          <w:lang w:val="en-US"/>
        </w:rPr>
        <w:t xml:space="preserve"> </w:t>
      </w:r>
      <w:r w:rsidR="006962DC" w:rsidRPr="00172E83">
        <w:rPr>
          <w:rFonts w:ascii="Calibri" w:hAnsi="Calibri"/>
          <w:color w:val="000000" w:themeColor="text1"/>
          <w:sz w:val="22"/>
          <w:szCs w:val="22"/>
          <w:lang w:val="en-US"/>
        </w:rPr>
        <w:t>(i)</w:t>
      </w:r>
      <w:r w:rsidR="00D757F7" w:rsidRPr="00172E83">
        <w:rPr>
          <w:rFonts w:ascii="Calibri" w:hAnsi="Calibri"/>
          <w:color w:val="000000" w:themeColor="text1"/>
          <w:sz w:val="22"/>
          <w:szCs w:val="22"/>
          <w:lang w:val="en-US"/>
        </w:rPr>
        <w:t xml:space="preserve"> </w:t>
      </w:r>
      <w:r w:rsidRPr="00172E83">
        <w:rPr>
          <w:rFonts w:ascii="Calibri" w:hAnsi="Calibri"/>
          <w:color w:val="000000" w:themeColor="text1"/>
          <w:sz w:val="22"/>
          <w:szCs w:val="22"/>
          <w:lang w:val="en-US"/>
        </w:rPr>
        <w:t xml:space="preserve">there is </w:t>
      </w:r>
      <w:r w:rsidRPr="00172E83">
        <w:rPr>
          <w:rFonts w:asciiTheme="minorHAnsi" w:hAnsiTheme="minorHAnsi"/>
          <w:color w:val="000000" w:themeColor="text1"/>
          <w:sz w:val="22"/>
          <w:szCs w:val="22"/>
          <w:lang w:val="en-US"/>
        </w:rPr>
        <w:t>no unified theoretical framework to analyze the macroeconomic consequences of controls</w:t>
      </w:r>
      <w:r w:rsidRPr="00172E83">
        <w:rPr>
          <w:rFonts w:ascii="Calibri" w:hAnsi="Calibri"/>
          <w:color w:val="000000" w:themeColor="text1"/>
          <w:sz w:val="22"/>
          <w:szCs w:val="22"/>
          <w:lang w:val="en-US"/>
        </w:rPr>
        <w:t xml:space="preserve"> </w:t>
      </w:r>
      <w:r w:rsidR="00853325" w:rsidRPr="00172E83">
        <w:rPr>
          <w:rFonts w:ascii="Calibri" w:hAnsi="Calibri"/>
          <w:color w:val="000000" w:themeColor="text1"/>
          <w:sz w:val="22"/>
          <w:szCs w:val="22"/>
          <w:lang w:val="en-US"/>
        </w:rPr>
        <w:t xml:space="preserve">in </w:t>
      </w:r>
      <w:r w:rsidR="00D757F7" w:rsidRPr="00172E83">
        <w:rPr>
          <w:rFonts w:ascii="Calibri" w:hAnsi="Calibri"/>
          <w:color w:val="000000" w:themeColor="text1"/>
          <w:sz w:val="22"/>
          <w:szCs w:val="22"/>
          <w:lang w:val="en-US"/>
        </w:rPr>
        <w:t>emerging markets</w:t>
      </w:r>
      <w:r w:rsidRPr="00172E83">
        <w:rPr>
          <w:rFonts w:ascii="Calibri" w:hAnsi="Calibri"/>
          <w:color w:val="000000" w:themeColor="text1"/>
          <w:sz w:val="22"/>
          <w:szCs w:val="22"/>
          <w:lang w:val="en-US"/>
        </w:rPr>
        <w:t xml:space="preserve">, as the debate above shows. </w:t>
      </w:r>
      <w:r w:rsidR="00B76A9C" w:rsidRPr="00172E83">
        <w:rPr>
          <w:rFonts w:ascii="Calibri" w:hAnsi="Calibri"/>
          <w:color w:val="000000" w:themeColor="text1"/>
          <w:sz w:val="22"/>
          <w:szCs w:val="22"/>
          <w:lang w:val="en-US"/>
        </w:rPr>
        <w:t xml:space="preserve">(ii) </w:t>
      </w:r>
      <w:r w:rsidRPr="00172E83">
        <w:rPr>
          <w:rFonts w:ascii="Calibri" w:hAnsi="Calibri"/>
          <w:color w:val="000000" w:themeColor="text1"/>
          <w:sz w:val="22"/>
          <w:szCs w:val="22"/>
          <w:lang w:val="en-US"/>
        </w:rPr>
        <w:t>there is great variety in the types of controls</w:t>
      </w:r>
      <w:r w:rsidR="00D757F7" w:rsidRPr="00172E83">
        <w:rPr>
          <w:rFonts w:ascii="Calibri" w:hAnsi="Calibri"/>
          <w:color w:val="000000" w:themeColor="text1"/>
          <w:sz w:val="22"/>
          <w:szCs w:val="22"/>
          <w:lang w:val="en-US"/>
        </w:rPr>
        <w:t>: taxes, unremunerated rese</w:t>
      </w:r>
      <w:r w:rsidR="00D757F7" w:rsidRPr="00172E83">
        <w:rPr>
          <w:rFonts w:ascii="Calibri" w:hAnsi="Calibri"/>
          <w:color w:val="000000" w:themeColor="text1"/>
          <w:sz w:val="22"/>
          <w:szCs w:val="22"/>
          <w:u w:val="single"/>
          <w:lang w:val="en-US"/>
        </w:rPr>
        <w:t>r</w:t>
      </w:r>
      <w:r w:rsidR="00D757F7" w:rsidRPr="00172E83">
        <w:rPr>
          <w:rFonts w:ascii="Calibri" w:hAnsi="Calibri"/>
          <w:color w:val="000000" w:themeColor="text1"/>
          <w:sz w:val="22"/>
          <w:szCs w:val="22"/>
          <w:lang w:val="en-US"/>
        </w:rPr>
        <w:t>ve requirements, quantitative restrictions, and verbal persuasion. In view of the sophisticated nature of financial markets, the devil is often in the details – and what works in one setting is unlikely to work well in others.</w:t>
      </w:r>
      <w:r w:rsidR="006962DC" w:rsidRPr="00172E83">
        <w:rPr>
          <w:rFonts w:ascii="Calibri" w:hAnsi="Calibri"/>
          <w:color w:val="000000" w:themeColor="text1"/>
          <w:sz w:val="22"/>
          <w:szCs w:val="22"/>
          <w:lang w:val="en-US"/>
        </w:rPr>
        <w:t xml:space="preserve"> </w:t>
      </w:r>
      <w:r w:rsidR="00BC3FC3" w:rsidRPr="00172E83">
        <w:rPr>
          <w:rFonts w:ascii="Calibri" w:hAnsi="Calibri"/>
          <w:color w:val="000000" w:themeColor="text1"/>
          <w:sz w:val="22"/>
          <w:szCs w:val="22"/>
          <w:lang w:val="en-US"/>
        </w:rPr>
        <w:t xml:space="preserve">(iii) </w:t>
      </w:r>
      <w:r w:rsidR="00D757F7" w:rsidRPr="00172E83">
        <w:rPr>
          <w:rFonts w:ascii="Calibri" w:hAnsi="Calibri"/>
          <w:color w:val="000000" w:themeColor="text1"/>
          <w:sz w:val="22"/>
          <w:szCs w:val="22"/>
          <w:lang w:val="en-US"/>
        </w:rPr>
        <w:t xml:space="preserve">policy makers implemented the measures based on significantly different </w:t>
      </w:r>
      <w:r w:rsidR="00810DD6" w:rsidRPr="00172E83">
        <w:rPr>
          <w:rFonts w:ascii="Calibri" w:hAnsi="Calibri"/>
          <w:color w:val="000000" w:themeColor="text1"/>
          <w:sz w:val="22"/>
          <w:szCs w:val="22"/>
          <w:lang w:val="en-US"/>
        </w:rPr>
        <w:t>aims</w:t>
      </w:r>
      <w:r w:rsidR="00D757F7" w:rsidRPr="00172E83">
        <w:rPr>
          <w:rFonts w:ascii="Calibri" w:hAnsi="Calibri"/>
          <w:color w:val="000000" w:themeColor="text1"/>
          <w:sz w:val="22"/>
          <w:szCs w:val="22"/>
          <w:lang w:val="en-US"/>
        </w:rPr>
        <w:t>. Capital controls may aim at banning the inflow of “hot money” by altering the composition of inflows</w:t>
      </w:r>
      <w:r w:rsidR="006560E5" w:rsidRPr="00172E83">
        <w:rPr>
          <w:rFonts w:ascii="Calibri" w:hAnsi="Calibri"/>
          <w:color w:val="000000" w:themeColor="text1"/>
          <w:sz w:val="22"/>
          <w:szCs w:val="22"/>
          <w:lang w:val="en-US"/>
        </w:rPr>
        <w:t>,</w:t>
      </w:r>
      <w:r w:rsidR="00D757F7" w:rsidRPr="00172E83">
        <w:rPr>
          <w:rFonts w:ascii="Calibri" w:hAnsi="Calibri"/>
          <w:color w:val="000000" w:themeColor="text1"/>
          <w:sz w:val="22"/>
          <w:szCs w:val="22"/>
          <w:lang w:val="en-US"/>
        </w:rPr>
        <w:t xml:space="preserve"> or at reducing the volume of inflows in order to prevent instability in the domestic financial sector; they may be launched in order to reduce the pressure on the exchange rate</w:t>
      </w:r>
      <w:r w:rsidR="006560E5" w:rsidRPr="00172E83">
        <w:rPr>
          <w:rFonts w:ascii="Calibri" w:hAnsi="Calibri"/>
          <w:color w:val="000000" w:themeColor="text1"/>
          <w:sz w:val="22"/>
          <w:szCs w:val="22"/>
          <w:lang w:val="en-US"/>
        </w:rPr>
        <w:t>,</w:t>
      </w:r>
      <w:r w:rsidR="00D757F7" w:rsidRPr="00172E83">
        <w:rPr>
          <w:rFonts w:ascii="Calibri" w:hAnsi="Calibri"/>
          <w:color w:val="000000" w:themeColor="text1"/>
          <w:sz w:val="22"/>
          <w:szCs w:val="22"/>
          <w:lang w:val="en-US"/>
        </w:rPr>
        <w:t xml:space="preserve"> or </w:t>
      </w:r>
      <w:r w:rsidR="006560E5" w:rsidRPr="00172E83">
        <w:rPr>
          <w:rFonts w:ascii="Calibri" w:hAnsi="Calibri"/>
          <w:color w:val="000000" w:themeColor="text1"/>
          <w:sz w:val="22"/>
          <w:szCs w:val="22"/>
          <w:lang w:val="en-US"/>
        </w:rPr>
        <w:t>to make</w:t>
      </w:r>
      <w:r w:rsidR="00D757F7" w:rsidRPr="00172E83">
        <w:rPr>
          <w:rFonts w:ascii="Calibri" w:hAnsi="Calibri"/>
          <w:color w:val="000000" w:themeColor="text1"/>
          <w:sz w:val="22"/>
          <w:szCs w:val="22"/>
          <w:lang w:val="en-US"/>
        </w:rPr>
        <w:t xml:space="preserve"> more policy space for an independent monetary policy at the domestic level. Even if these </w:t>
      </w:r>
      <w:r w:rsidR="00810DD6" w:rsidRPr="00172E83">
        <w:rPr>
          <w:rFonts w:ascii="Calibri" w:hAnsi="Calibri"/>
          <w:color w:val="000000" w:themeColor="text1"/>
          <w:sz w:val="22"/>
          <w:szCs w:val="22"/>
          <w:lang w:val="en-US"/>
        </w:rPr>
        <w:t xml:space="preserve">aims </w:t>
      </w:r>
      <w:r w:rsidR="00D757F7" w:rsidRPr="00172E83">
        <w:rPr>
          <w:rFonts w:ascii="Calibri" w:hAnsi="Calibri"/>
          <w:color w:val="000000" w:themeColor="text1"/>
          <w:sz w:val="22"/>
          <w:szCs w:val="22"/>
          <w:lang w:val="en-US"/>
        </w:rPr>
        <w:t xml:space="preserve">are partially interdependent, criteria for </w:t>
      </w:r>
      <w:r w:rsidR="006560E5" w:rsidRPr="00172E83">
        <w:rPr>
          <w:rFonts w:ascii="Calibri" w:hAnsi="Calibri"/>
          <w:color w:val="000000" w:themeColor="text1"/>
          <w:sz w:val="22"/>
          <w:szCs w:val="22"/>
          <w:lang w:val="en-US"/>
        </w:rPr>
        <w:t xml:space="preserve">the </w:t>
      </w:r>
      <w:r w:rsidR="00D757F7" w:rsidRPr="00172E83">
        <w:rPr>
          <w:rFonts w:ascii="Calibri" w:hAnsi="Calibri"/>
          <w:color w:val="000000" w:themeColor="text1"/>
          <w:sz w:val="22"/>
          <w:szCs w:val="22"/>
          <w:lang w:val="en-US"/>
        </w:rPr>
        <w:t>‘success’ of capital controls ha</w:t>
      </w:r>
      <w:r w:rsidR="006560E5" w:rsidRPr="00172E83">
        <w:rPr>
          <w:rFonts w:ascii="Calibri" w:hAnsi="Calibri"/>
          <w:color w:val="000000" w:themeColor="text1"/>
          <w:sz w:val="22"/>
          <w:szCs w:val="22"/>
          <w:lang w:val="en-US"/>
        </w:rPr>
        <w:t>ve</w:t>
      </w:r>
      <w:r w:rsidR="00D757F7" w:rsidRPr="00172E83">
        <w:rPr>
          <w:rFonts w:ascii="Calibri" w:hAnsi="Calibri"/>
          <w:color w:val="000000" w:themeColor="text1"/>
          <w:sz w:val="22"/>
          <w:szCs w:val="22"/>
          <w:lang w:val="en-US"/>
        </w:rPr>
        <w:t xml:space="preserve"> to be adjusted to case-specific policy goals.</w:t>
      </w:r>
      <w:r w:rsidR="006962DC" w:rsidRPr="00172E83">
        <w:rPr>
          <w:rFonts w:ascii="Calibri" w:hAnsi="Calibri"/>
          <w:color w:val="000000" w:themeColor="text1"/>
          <w:sz w:val="22"/>
          <w:szCs w:val="22"/>
          <w:lang w:val="en-US"/>
        </w:rPr>
        <w:t xml:space="preserve"> </w:t>
      </w:r>
    </w:p>
    <w:p w14:paraId="05C53935" w14:textId="046E07B6" w:rsidR="007F4325" w:rsidRPr="00172E83" w:rsidRDefault="006962DC" w:rsidP="00523082">
      <w:pPr>
        <w:pStyle w:val="Padro"/>
        <w:spacing w:line="360" w:lineRule="auto"/>
        <w:jc w:val="both"/>
        <w:rPr>
          <w:rFonts w:ascii="Calibri" w:hAnsi="Calibri"/>
          <w:color w:val="000000" w:themeColor="text1"/>
          <w:sz w:val="22"/>
          <w:szCs w:val="22"/>
          <w:lang w:val="en-US"/>
        </w:rPr>
      </w:pPr>
      <w:r w:rsidRPr="00172E83">
        <w:rPr>
          <w:rFonts w:ascii="Calibri" w:hAnsi="Calibri"/>
          <w:color w:val="000000" w:themeColor="text1"/>
          <w:sz w:val="22"/>
          <w:szCs w:val="22"/>
          <w:lang w:val="en-US"/>
        </w:rPr>
        <w:t xml:space="preserve">Regarding the first aspect, </w:t>
      </w:r>
      <w:r w:rsidR="00A577AF" w:rsidRPr="00172E83">
        <w:rPr>
          <w:rFonts w:ascii="Calibri" w:hAnsi="Calibri"/>
          <w:color w:val="000000" w:themeColor="text1"/>
          <w:sz w:val="22"/>
          <w:szCs w:val="22"/>
          <w:lang w:val="en-US"/>
        </w:rPr>
        <w:t xml:space="preserve">we </w:t>
      </w:r>
      <w:r w:rsidRPr="00172E83">
        <w:rPr>
          <w:rFonts w:ascii="Calibri" w:hAnsi="Calibri"/>
          <w:color w:val="000000" w:themeColor="text1"/>
          <w:sz w:val="22"/>
          <w:szCs w:val="22"/>
          <w:lang w:val="en-US"/>
        </w:rPr>
        <w:t>assume the necessity for emerging economies to reduce especially the degree of external vulnerability for enhancing their domestic economic policy space requires the permanent management of capital flows; th</w:t>
      </w:r>
      <w:r w:rsidR="00C16963" w:rsidRPr="00172E83">
        <w:rPr>
          <w:rFonts w:ascii="Calibri" w:hAnsi="Calibri"/>
          <w:color w:val="000000" w:themeColor="text1"/>
          <w:sz w:val="22"/>
          <w:szCs w:val="22"/>
          <w:lang w:val="en-US"/>
        </w:rPr>
        <w:t>em,</w:t>
      </w:r>
      <w:r w:rsidRPr="00172E83">
        <w:rPr>
          <w:rFonts w:ascii="Calibri" w:hAnsi="Calibri"/>
          <w:color w:val="000000" w:themeColor="text1"/>
          <w:sz w:val="22"/>
          <w:szCs w:val="22"/>
          <w:lang w:val="en-US"/>
        </w:rPr>
        <w:t xml:space="preserve"> we adhere to the use of </w:t>
      </w:r>
      <w:r w:rsidR="006656A2" w:rsidRPr="00172E83">
        <w:rPr>
          <w:rFonts w:ascii="Calibri" w:hAnsi="Calibri"/>
          <w:color w:val="000000" w:themeColor="text1"/>
          <w:sz w:val="22"/>
          <w:szCs w:val="22"/>
          <w:lang w:val="en-US"/>
        </w:rPr>
        <w:t>the concept of CAR (see also Fritz/Prates 2014</w:t>
      </w:r>
      <w:r w:rsidR="00B76A9C" w:rsidRPr="00172E83">
        <w:rPr>
          <w:rFonts w:ascii="Calibri" w:hAnsi="Calibri"/>
          <w:color w:val="000000" w:themeColor="text1"/>
          <w:sz w:val="22"/>
          <w:szCs w:val="22"/>
          <w:lang w:val="en-US"/>
        </w:rPr>
        <w:t xml:space="preserve">; </w:t>
      </w:r>
      <w:r w:rsidR="00D2191D" w:rsidRPr="00172E83">
        <w:rPr>
          <w:rFonts w:asciiTheme="minorHAnsi" w:hAnsiTheme="minorHAnsi"/>
          <w:color w:val="000000" w:themeColor="text1"/>
          <w:sz w:val="22"/>
          <w:szCs w:val="22"/>
          <w:lang w:val="en-US"/>
        </w:rPr>
        <w:t>Gallagher, Griffith-Jones and Ocampo, 2012</w:t>
      </w:r>
      <w:r w:rsidR="006656A2" w:rsidRPr="00172E83">
        <w:rPr>
          <w:rFonts w:ascii="Calibri" w:hAnsi="Calibri"/>
          <w:color w:val="000000" w:themeColor="text1"/>
          <w:sz w:val="22"/>
          <w:szCs w:val="22"/>
          <w:lang w:val="en-US"/>
        </w:rPr>
        <w:t xml:space="preserve">). In this paper, we thus focus on the </w:t>
      </w:r>
      <w:r w:rsidR="007F4325" w:rsidRPr="00172E83">
        <w:rPr>
          <w:rFonts w:ascii="Calibri" w:hAnsi="Calibri"/>
          <w:color w:val="000000" w:themeColor="text1"/>
          <w:sz w:val="22"/>
          <w:szCs w:val="22"/>
          <w:lang w:val="en-US"/>
        </w:rPr>
        <w:t xml:space="preserve">two </w:t>
      </w:r>
      <w:r w:rsidR="006656A2" w:rsidRPr="00172E83">
        <w:rPr>
          <w:rFonts w:ascii="Calibri" w:hAnsi="Calibri"/>
          <w:color w:val="000000" w:themeColor="text1"/>
          <w:sz w:val="22"/>
          <w:szCs w:val="22"/>
          <w:lang w:val="en-US"/>
        </w:rPr>
        <w:t>latter aspects</w:t>
      </w:r>
      <w:r w:rsidR="007F4325" w:rsidRPr="00172E83">
        <w:rPr>
          <w:rFonts w:ascii="Calibri" w:hAnsi="Calibri"/>
          <w:color w:val="000000" w:themeColor="text1"/>
          <w:sz w:val="22"/>
          <w:szCs w:val="22"/>
          <w:lang w:val="en-US"/>
        </w:rPr>
        <w:t xml:space="preserve">, yet adding a fourth category, the relevant context variables, which also differ over time and space. We identify three context variables. </w:t>
      </w:r>
    </w:p>
    <w:p w14:paraId="7A3047BE" w14:textId="709254AE" w:rsidR="00FB61AA" w:rsidRPr="00172E83" w:rsidRDefault="006E1BD3" w:rsidP="00D2191D">
      <w:pPr>
        <w:pStyle w:val="Padro"/>
        <w:spacing w:line="360" w:lineRule="auto"/>
        <w:jc w:val="both"/>
        <w:rPr>
          <w:rFonts w:ascii="Calibri" w:hAnsi="Calibri"/>
          <w:color w:val="000000" w:themeColor="text1"/>
          <w:sz w:val="22"/>
          <w:szCs w:val="22"/>
          <w:lang w:val="en-US"/>
        </w:rPr>
      </w:pPr>
      <w:r w:rsidRPr="00172E83">
        <w:rPr>
          <w:rFonts w:ascii="Calibri" w:hAnsi="Calibri"/>
          <w:color w:val="000000" w:themeColor="text1"/>
          <w:sz w:val="22"/>
          <w:szCs w:val="22"/>
          <w:lang w:val="en-US"/>
        </w:rPr>
        <w:t>The f</w:t>
      </w:r>
      <w:r w:rsidR="00523082" w:rsidRPr="00172E83">
        <w:rPr>
          <w:rFonts w:ascii="Calibri" w:hAnsi="Calibri"/>
          <w:color w:val="000000" w:themeColor="text1"/>
          <w:sz w:val="22"/>
          <w:szCs w:val="22"/>
          <w:lang w:val="en-US"/>
        </w:rPr>
        <w:t>irst</w:t>
      </w:r>
      <w:r w:rsidRPr="00172E83">
        <w:rPr>
          <w:rFonts w:ascii="Calibri" w:hAnsi="Calibri"/>
          <w:color w:val="000000" w:themeColor="text1"/>
          <w:sz w:val="22"/>
          <w:szCs w:val="22"/>
          <w:lang w:val="en-US"/>
        </w:rPr>
        <w:t xml:space="preserve"> is</w:t>
      </w:r>
      <w:r w:rsidR="00523082" w:rsidRPr="00172E83">
        <w:rPr>
          <w:rFonts w:ascii="Calibri" w:hAnsi="Calibri"/>
          <w:color w:val="000000" w:themeColor="text1"/>
          <w:sz w:val="22"/>
          <w:szCs w:val="22"/>
          <w:lang w:val="en-US"/>
        </w:rPr>
        <w:t xml:space="preserve"> </w:t>
      </w:r>
      <w:r w:rsidR="000F1D16" w:rsidRPr="00172E83">
        <w:rPr>
          <w:rFonts w:ascii="Calibri" w:hAnsi="Calibri"/>
          <w:color w:val="000000" w:themeColor="text1"/>
          <w:sz w:val="22"/>
          <w:szCs w:val="22"/>
          <w:lang w:val="en-US"/>
        </w:rPr>
        <w:t>the current stage of external constraints</w:t>
      </w:r>
      <w:r w:rsidR="00107511" w:rsidRPr="00172E83">
        <w:rPr>
          <w:rFonts w:ascii="Calibri" w:hAnsi="Calibri"/>
          <w:color w:val="000000" w:themeColor="text1"/>
          <w:sz w:val="22"/>
          <w:szCs w:val="22"/>
          <w:lang w:val="en-US"/>
        </w:rPr>
        <w:t xml:space="preserve"> that</w:t>
      </w:r>
      <w:r w:rsidR="000F1D16" w:rsidRPr="00172E83">
        <w:rPr>
          <w:rFonts w:ascii="Calibri" w:hAnsi="Calibri"/>
          <w:color w:val="000000" w:themeColor="text1"/>
          <w:sz w:val="22"/>
          <w:szCs w:val="22"/>
          <w:lang w:val="en-US"/>
        </w:rPr>
        <w:t xml:space="preserve">, together with the departing conditions of an economy, delimit the choices for a specific </w:t>
      </w:r>
      <w:r w:rsidR="00523082" w:rsidRPr="00172E83">
        <w:rPr>
          <w:rFonts w:ascii="Calibri" w:hAnsi="Calibri"/>
          <w:color w:val="000000" w:themeColor="text1"/>
          <w:sz w:val="22"/>
          <w:szCs w:val="22"/>
          <w:lang w:val="en-US"/>
        </w:rPr>
        <w:t>macroeconomic regime</w:t>
      </w:r>
      <w:r w:rsidR="000F1D16" w:rsidRPr="00172E83">
        <w:rPr>
          <w:rFonts w:ascii="Calibri" w:hAnsi="Calibri"/>
          <w:color w:val="000000" w:themeColor="text1"/>
          <w:sz w:val="22"/>
          <w:szCs w:val="22"/>
          <w:lang w:val="en-US"/>
        </w:rPr>
        <w:t xml:space="preserve">. </w:t>
      </w:r>
      <w:r w:rsidR="00392EDF" w:rsidRPr="00172E83">
        <w:rPr>
          <w:rFonts w:ascii="Calibri" w:hAnsi="Calibri"/>
          <w:color w:val="000000" w:themeColor="text1"/>
          <w:sz w:val="22"/>
          <w:szCs w:val="22"/>
          <w:lang w:val="en-US"/>
        </w:rPr>
        <w:t>Most importantly, n</w:t>
      </w:r>
      <w:r w:rsidR="000F1D16" w:rsidRPr="00172E83">
        <w:rPr>
          <w:rFonts w:ascii="Calibri" w:hAnsi="Calibri"/>
          <w:color w:val="000000" w:themeColor="text1"/>
          <w:sz w:val="22"/>
          <w:szCs w:val="22"/>
          <w:lang w:val="en-US"/>
        </w:rPr>
        <w:t xml:space="preserve">et stock of external assets or liabilities, and availability of international liquidity define </w:t>
      </w:r>
      <w:r w:rsidR="00392EDF" w:rsidRPr="00172E83">
        <w:rPr>
          <w:rFonts w:ascii="Calibri" w:hAnsi="Calibri"/>
          <w:color w:val="000000" w:themeColor="text1"/>
          <w:sz w:val="22"/>
          <w:szCs w:val="22"/>
          <w:lang w:val="en-US"/>
        </w:rPr>
        <w:t>how far a country can afford to repel capital inflows. For the macroeconomic regime</w:t>
      </w:r>
      <w:r w:rsidR="00857A40" w:rsidRPr="00172E83">
        <w:rPr>
          <w:rFonts w:ascii="Calibri" w:hAnsi="Calibri"/>
          <w:color w:val="000000" w:themeColor="text1"/>
          <w:sz w:val="22"/>
          <w:szCs w:val="22"/>
          <w:lang w:val="en-US"/>
        </w:rPr>
        <w:t>, as defined above,</w:t>
      </w:r>
      <w:r w:rsidRPr="00172E83">
        <w:rPr>
          <w:rFonts w:ascii="Calibri" w:hAnsi="Calibri"/>
          <w:color w:val="000000" w:themeColor="text1"/>
          <w:sz w:val="22"/>
          <w:szCs w:val="22"/>
          <w:lang w:val="en-US"/>
        </w:rPr>
        <w:t xml:space="preserve"> </w:t>
      </w:r>
      <w:r w:rsidR="00392EDF" w:rsidRPr="00172E83">
        <w:rPr>
          <w:rFonts w:ascii="Calibri" w:hAnsi="Calibri"/>
          <w:color w:val="000000" w:themeColor="text1"/>
          <w:sz w:val="22"/>
          <w:szCs w:val="22"/>
          <w:lang w:val="en-US"/>
        </w:rPr>
        <w:t xml:space="preserve">we will </w:t>
      </w:r>
      <w:r w:rsidR="001F3680" w:rsidRPr="00172E83">
        <w:rPr>
          <w:rFonts w:ascii="Calibri" w:hAnsi="Calibri"/>
          <w:color w:val="000000" w:themeColor="text1"/>
          <w:sz w:val="22"/>
          <w:szCs w:val="22"/>
          <w:lang w:val="en-US"/>
        </w:rPr>
        <w:t xml:space="preserve">refer </w:t>
      </w:r>
      <w:r w:rsidRPr="00172E83">
        <w:rPr>
          <w:rFonts w:ascii="Calibri" w:hAnsi="Calibri"/>
          <w:color w:val="000000" w:themeColor="text1"/>
          <w:sz w:val="22"/>
          <w:szCs w:val="22"/>
          <w:lang w:val="en-US"/>
        </w:rPr>
        <w:t xml:space="preserve">herein </w:t>
      </w:r>
      <w:r w:rsidR="001F3680" w:rsidRPr="00172E83">
        <w:rPr>
          <w:rFonts w:ascii="Calibri" w:hAnsi="Calibri"/>
          <w:color w:val="000000" w:themeColor="text1"/>
          <w:sz w:val="22"/>
          <w:szCs w:val="22"/>
          <w:lang w:val="en-US"/>
        </w:rPr>
        <w:t>to the sum of exchange rate</w:t>
      </w:r>
      <w:r w:rsidR="00392EDF" w:rsidRPr="00172E83">
        <w:rPr>
          <w:rFonts w:ascii="Calibri" w:hAnsi="Calibri"/>
          <w:color w:val="000000" w:themeColor="text1"/>
          <w:sz w:val="22"/>
          <w:szCs w:val="22"/>
          <w:lang w:val="en-US"/>
        </w:rPr>
        <w:t xml:space="preserve"> and </w:t>
      </w:r>
      <w:r w:rsidR="001F3680" w:rsidRPr="00172E83">
        <w:rPr>
          <w:rFonts w:ascii="Calibri" w:hAnsi="Calibri"/>
          <w:color w:val="000000" w:themeColor="text1"/>
          <w:sz w:val="22"/>
          <w:szCs w:val="22"/>
          <w:lang w:val="en-US"/>
        </w:rPr>
        <w:t>monetary policies</w:t>
      </w:r>
      <w:r w:rsidR="00392EDF" w:rsidRPr="00172E83">
        <w:rPr>
          <w:rFonts w:ascii="Calibri" w:hAnsi="Calibri"/>
          <w:color w:val="000000" w:themeColor="text1"/>
          <w:sz w:val="22"/>
          <w:szCs w:val="22"/>
          <w:lang w:val="en-US"/>
        </w:rPr>
        <w:t xml:space="preserve"> which are</w:t>
      </w:r>
      <w:r w:rsidR="001F3680" w:rsidRPr="00172E83">
        <w:rPr>
          <w:rFonts w:ascii="Calibri" w:hAnsi="Calibri"/>
          <w:color w:val="000000" w:themeColor="text1"/>
          <w:sz w:val="22"/>
          <w:szCs w:val="22"/>
          <w:lang w:val="en-US"/>
        </w:rPr>
        <w:t xml:space="preserve"> directly interrelated with the CAR. </w:t>
      </w:r>
      <w:r w:rsidR="00392EDF" w:rsidRPr="00172E83">
        <w:rPr>
          <w:rFonts w:ascii="Calibri" w:hAnsi="Calibri"/>
          <w:color w:val="000000" w:themeColor="text1"/>
          <w:sz w:val="22"/>
          <w:szCs w:val="22"/>
          <w:lang w:val="en-US"/>
        </w:rPr>
        <w:t xml:space="preserve">Second, the stage and </w:t>
      </w:r>
      <w:r w:rsidR="00C5177A" w:rsidRPr="00172E83">
        <w:rPr>
          <w:rFonts w:ascii="Calibri" w:hAnsi="Calibri"/>
          <w:color w:val="000000" w:themeColor="text1"/>
          <w:sz w:val="22"/>
          <w:szCs w:val="22"/>
          <w:lang w:val="en-US"/>
        </w:rPr>
        <w:t xml:space="preserve">state </w:t>
      </w:r>
      <w:r w:rsidR="00392EDF" w:rsidRPr="00172E83">
        <w:rPr>
          <w:rFonts w:ascii="Calibri" w:hAnsi="Calibri"/>
          <w:color w:val="000000" w:themeColor="text1"/>
          <w:sz w:val="22"/>
          <w:szCs w:val="22"/>
          <w:lang w:val="en-US"/>
        </w:rPr>
        <w:t xml:space="preserve">of the domestic economy, together with </w:t>
      </w:r>
      <w:r w:rsidR="00287FA2" w:rsidRPr="00172E83">
        <w:rPr>
          <w:rFonts w:ascii="Calibri" w:hAnsi="Calibri"/>
          <w:color w:val="000000" w:themeColor="text1"/>
          <w:sz w:val="22"/>
          <w:szCs w:val="22"/>
          <w:lang w:val="en-US"/>
        </w:rPr>
        <w:t xml:space="preserve">the </w:t>
      </w:r>
      <w:r w:rsidR="00392EDF" w:rsidRPr="00172E83">
        <w:rPr>
          <w:rFonts w:ascii="Calibri" w:hAnsi="Calibri"/>
          <w:color w:val="000000" w:themeColor="text1"/>
          <w:sz w:val="22"/>
          <w:szCs w:val="22"/>
          <w:lang w:val="en-US"/>
        </w:rPr>
        <w:t xml:space="preserve">preferences of ruling economic and political actor constellations, will influence the aims, targets and tools of the macroeconomic regime and thus the policies in </w:t>
      </w:r>
      <w:r w:rsidR="003E337E" w:rsidRPr="00172E83">
        <w:rPr>
          <w:rFonts w:ascii="Calibri" w:hAnsi="Calibri"/>
          <w:color w:val="000000" w:themeColor="text1"/>
          <w:sz w:val="22"/>
          <w:szCs w:val="22"/>
          <w:lang w:val="en-US"/>
        </w:rPr>
        <w:t>different sub-fields.</w:t>
      </w:r>
      <w:r w:rsidR="00392EDF" w:rsidRPr="00172E83">
        <w:rPr>
          <w:rFonts w:ascii="Calibri" w:hAnsi="Calibri"/>
          <w:color w:val="000000" w:themeColor="text1"/>
          <w:sz w:val="22"/>
          <w:szCs w:val="22"/>
          <w:lang w:val="en-US"/>
        </w:rPr>
        <w:t xml:space="preserve"> </w:t>
      </w:r>
      <w:r w:rsidR="001F3680" w:rsidRPr="00172E83">
        <w:rPr>
          <w:rFonts w:ascii="Calibri" w:hAnsi="Calibri"/>
          <w:color w:val="000000" w:themeColor="text1"/>
          <w:sz w:val="22"/>
          <w:szCs w:val="22"/>
          <w:lang w:val="en-US"/>
        </w:rPr>
        <w:t>When CAR are adopted, their aims</w:t>
      </w:r>
      <w:r w:rsidR="003E337E" w:rsidRPr="00172E83">
        <w:rPr>
          <w:rFonts w:ascii="Calibri" w:hAnsi="Calibri"/>
          <w:color w:val="000000" w:themeColor="text1"/>
          <w:sz w:val="22"/>
          <w:szCs w:val="22"/>
          <w:lang w:val="en-US"/>
        </w:rPr>
        <w:t>, and consequently targets and tools</w:t>
      </w:r>
      <w:r w:rsidR="001F3680" w:rsidRPr="00172E83">
        <w:rPr>
          <w:rFonts w:ascii="Calibri" w:hAnsi="Calibri"/>
          <w:color w:val="000000" w:themeColor="text1"/>
          <w:sz w:val="22"/>
          <w:szCs w:val="22"/>
          <w:lang w:val="en-US"/>
        </w:rPr>
        <w:t xml:space="preserve"> will be </w:t>
      </w:r>
      <w:r w:rsidRPr="00172E83">
        <w:rPr>
          <w:rFonts w:ascii="Calibri" w:hAnsi="Calibri"/>
          <w:color w:val="000000" w:themeColor="text1"/>
          <w:sz w:val="22"/>
          <w:szCs w:val="22"/>
          <w:lang w:val="en-US"/>
        </w:rPr>
        <w:t>framed</w:t>
      </w:r>
      <w:r w:rsidR="001F3680" w:rsidRPr="00172E83">
        <w:rPr>
          <w:rFonts w:ascii="Calibri" w:hAnsi="Calibri"/>
          <w:color w:val="000000" w:themeColor="text1"/>
          <w:sz w:val="22"/>
          <w:szCs w:val="22"/>
          <w:lang w:val="en-US"/>
        </w:rPr>
        <w:t xml:space="preserve"> by the aims of the monetary and exchange rate policies underway</w:t>
      </w:r>
      <w:r w:rsidR="001F3680" w:rsidRPr="00172E83">
        <w:rPr>
          <w:rStyle w:val="Funotenzeichen"/>
          <w:rFonts w:ascii="Calibri" w:hAnsi="Calibri"/>
          <w:color w:val="000000" w:themeColor="text1"/>
          <w:sz w:val="22"/>
          <w:szCs w:val="22"/>
          <w:lang w:val="en-US"/>
        </w:rPr>
        <w:footnoteReference w:id="4"/>
      </w:r>
      <w:r w:rsidR="003E337E" w:rsidRPr="00172E83">
        <w:rPr>
          <w:rFonts w:ascii="Calibri" w:hAnsi="Calibri"/>
          <w:color w:val="000000" w:themeColor="text1"/>
          <w:sz w:val="22"/>
          <w:szCs w:val="22"/>
          <w:lang w:val="en-US"/>
        </w:rPr>
        <w:t>, shaped by the external constraints</w:t>
      </w:r>
      <w:r w:rsidR="001F3680" w:rsidRPr="00172E83">
        <w:rPr>
          <w:rFonts w:ascii="Calibri" w:hAnsi="Calibri"/>
          <w:color w:val="000000" w:themeColor="text1"/>
          <w:sz w:val="22"/>
          <w:szCs w:val="22"/>
          <w:lang w:val="en-US"/>
        </w:rPr>
        <w:t>.</w:t>
      </w:r>
      <w:r w:rsidR="00FB61AA" w:rsidRPr="00172E83">
        <w:rPr>
          <w:rFonts w:ascii="Calibri" w:hAnsi="Calibri"/>
          <w:color w:val="000000" w:themeColor="text1"/>
          <w:sz w:val="22"/>
          <w:szCs w:val="22"/>
          <w:lang w:val="en-US"/>
        </w:rPr>
        <w:t xml:space="preserve"> </w:t>
      </w:r>
      <w:r w:rsidRPr="00172E83">
        <w:rPr>
          <w:rFonts w:ascii="Calibri" w:hAnsi="Calibri"/>
          <w:color w:val="000000" w:themeColor="text1"/>
          <w:sz w:val="22"/>
          <w:szCs w:val="22"/>
          <w:lang w:val="en-US"/>
        </w:rPr>
        <w:t>The t</w:t>
      </w:r>
      <w:r w:rsidR="00523082" w:rsidRPr="00172E83">
        <w:rPr>
          <w:rFonts w:ascii="Calibri" w:hAnsi="Calibri"/>
          <w:color w:val="000000" w:themeColor="text1"/>
          <w:sz w:val="22"/>
          <w:szCs w:val="22"/>
          <w:lang w:val="en-US"/>
        </w:rPr>
        <w:t>hird</w:t>
      </w:r>
      <w:r w:rsidRPr="00172E83">
        <w:rPr>
          <w:rFonts w:ascii="Calibri" w:hAnsi="Calibri"/>
          <w:color w:val="000000" w:themeColor="text1"/>
          <w:sz w:val="22"/>
          <w:szCs w:val="22"/>
          <w:lang w:val="en-US"/>
        </w:rPr>
        <w:t xml:space="preserve"> variable is</w:t>
      </w:r>
      <w:r w:rsidR="00FB61AA" w:rsidRPr="00172E83">
        <w:rPr>
          <w:rFonts w:ascii="Calibri" w:hAnsi="Calibri"/>
          <w:color w:val="000000" w:themeColor="text1"/>
          <w:sz w:val="22"/>
          <w:szCs w:val="22"/>
          <w:lang w:val="en-US"/>
        </w:rPr>
        <w:t xml:space="preserve"> domestic</w:t>
      </w:r>
      <w:r w:rsidR="00523082" w:rsidRPr="00172E83">
        <w:rPr>
          <w:rFonts w:ascii="Calibri" w:hAnsi="Calibri"/>
          <w:color w:val="000000" w:themeColor="text1"/>
          <w:sz w:val="22"/>
          <w:szCs w:val="22"/>
          <w:lang w:val="en-US"/>
        </w:rPr>
        <w:t xml:space="preserve"> institutional </w:t>
      </w:r>
      <w:r w:rsidR="00875E8E" w:rsidRPr="00172E83">
        <w:rPr>
          <w:rFonts w:ascii="Calibri" w:hAnsi="Calibri"/>
          <w:color w:val="000000" w:themeColor="text1"/>
          <w:sz w:val="22"/>
          <w:szCs w:val="22"/>
          <w:lang w:val="en-US"/>
        </w:rPr>
        <w:t>aspects that, given the aims defined by the interplay of the first and second variables, will</w:t>
      </w:r>
      <w:r w:rsidR="00523082" w:rsidRPr="00172E83">
        <w:rPr>
          <w:rFonts w:ascii="Calibri" w:hAnsi="Calibri"/>
          <w:color w:val="000000" w:themeColor="text1"/>
          <w:sz w:val="22"/>
          <w:szCs w:val="22"/>
          <w:lang w:val="en-US"/>
        </w:rPr>
        <w:t xml:space="preserve"> </w:t>
      </w:r>
      <w:r w:rsidR="00875E8E" w:rsidRPr="00172E83">
        <w:rPr>
          <w:rFonts w:ascii="Calibri" w:hAnsi="Calibri"/>
          <w:color w:val="000000" w:themeColor="text1"/>
          <w:sz w:val="22"/>
          <w:szCs w:val="22"/>
          <w:lang w:val="en-US"/>
        </w:rPr>
        <w:t xml:space="preserve">shape the tools of CAR. In the case of Brazil, the main institutional aspects are </w:t>
      </w:r>
      <w:r w:rsidR="00FB61AA" w:rsidRPr="00172E83">
        <w:rPr>
          <w:rFonts w:ascii="Calibri" w:hAnsi="Calibri"/>
          <w:color w:val="000000" w:themeColor="text1"/>
          <w:sz w:val="22"/>
          <w:szCs w:val="22"/>
          <w:lang w:val="en-US"/>
        </w:rPr>
        <w:t xml:space="preserve">the </w:t>
      </w:r>
      <w:r w:rsidR="00875E8E" w:rsidRPr="00172E83">
        <w:rPr>
          <w:rFonts w:ascii="Calibri" w:hAnsi="Calibri"/>
          <w:color w:val="000000" w:themeColor="text1"/>
          <w:sz w:val="22"/>
          <w:szCs w:val="22"/>
          <w:lang w:val="en-US"/>
        </w:rPr>
        <w:t xml:space="preserve">level of financial openness and the features of the </w:t>
      </w:r>
      <w:r w:rsidR="00FB61AA" w:rsidRPr="00172E83">
        <w:rPr>
          <w:rFonts w:ascii="Calibri" w:hAnsi="Calibri"/>
          <w:color w:val="000000" w:themeColor="text1"/>
          <w:sz w:val="22"/>
          <w:szCs w:val="22"/>
          <w:lang w:val="en-US"/>
        </w:rPr>
        <w:t>financial market</w:t>
      </w:r>
      <w:r w:rsidR="005D2967" w:rsidRPr="00172E83">
        <w:rPr>
          <w:rFonts w:ascii="Calibri" w:hAnsi="Calibri"/>
          <w:color w:val="000000" w:themeColor="text1"/>
          <w:sz w:val="22"/>
          <w:szCs w:val="22"/>
          <w:lang w:val="en-US"/>
        </w:rPr>
        <w:t>, which encompass the FX market</w:t>
      </w:r>
      <w:r w:rsidR="00D2191D" w:rsidRPr="00172E83">
        <w:rPr>
          <w:rFonts w:ascii="Calibri" w:hAnsi="Calibri"/>
          <w:color w:val="000000" w:themeColor="text1"/>
          <w:sz w:val="22"/>
          <w:szCs w:val="22"/>
          <w:lang w:val="en-US"/>
        </w:rPr>
        <w:t>.</w:t>
      </w:r>
    </w:p>
    <w:p w14:paraId="62227E7F" w14:textId="28B15D10" w:rsidR="00287FA2" w:rsidRPr="00172E83" w:rsidRDefault="008D586B" w:rsidP="00287FA2">
      <w:pPr>
        <w:pStyle w:val="Padro"/>
        <w:spacing w:line="360" w:lineRule="auto"/>
        <w:jc w:val="center"/>
        <w:rPr>
          <w:rFonts w:ascii="Calibri" w:hAnsi="Calibri"/>
          <w:b/>
          <w:color w:val="000000" w:themeColor="text1"/>
          <w:szCs w:val="22"/>
          <w:lang w:val="en-US"/>
        </w:rPr>
      </w:pPr>
      <w:r w:rsidRPr="00172E83">
        <w:rPr>
          <w:rFonts w:ascii="Calibri" w:hAnsi="Calibri"/>
          <w:b/>
          <w:color w:val="000000" w:themeColor="text1"/>
          <w:szCs w:val="22"/>
          <w:lang w:val="en-US"/>
        </w:rPr>
        <w:t>Figure</w:t>
      </w:r>
      <w:r w:rsidR="003C7773" w:rsidRPr="00172E83">
        <w:rPr>
          <w:rFonts w:ascii="Calibri" w:hAnsi="Calibri"/>
          <w:b/>
          <w:color w:val="000000" w:themeColor="text1"/>
          <w:szCs w:val="22"/>
          <w:lang w:val="en-US"/>
        </w:rPr>
        <w:t xml:space="preserve"> 1: </w:t>
      </w:r>
      <w:r w:rsidRPr="00172E83">
        <w:rPr>
          <w:rFonts w:ascii="Calibri" w:hAnsi="Calibri"/>
          <w:b/>
          <w:color w:val="000000" w:themeColor="text1"/>
          <w:szCs w:val="22"/>
          <w:lang w:val="en-US"/>
        </w:rPr>
        <w:t>Macroeconomic regime</w:t>
      </w:r>
    </w:p>
    <w:p w14:paraId="58D31C1F" w14:textId="438AE6E9" w:rsidR="00287FA2" w:rsidRPr="00172E83" w:rsidRDefault="004764C9" w:rsidP="00287FA2">
      <w:pPr>
        <w:pStyle w:val="Padro"/>
        <w:tabs>
          <w:tab w:val="left" w:pos="3120"/>
        </w:tabs>
        <w:spacing w:after="0" w:line="360" w:lineRule="auto"/>
        <w:jc w:val="both"/>
        <w:rPr>
          <w:rFonts w:ascii="Calibri" w:hAnsi="Calibri"/>
          <w:color w:val="000000" w:themeColor="text1"/>
          <w:sz w:val="22"/>
          <w:szCs w:val="22"/>
          <w:lang w:val="en-US"/>
        </w:rPr>
      </w:pPr>
      <w:r w:rsidRPr="00172E83">
        <w:rPr>
          <w:rFonts w:ascii="Calibri" w:hAnsi="Calibri"/>
          <w:noProof/>
          <w:color w:val="000000" w:themeColor="text1"/>
          <w:sz w:val="22"/>
          <w:szCs w:val="22"/>
          <w:lang w:eastAsia="de-DE"/>
        </w:rPr>
        <mc:AlternateContent>
          <mc:Choice Requires="wps">
            <w:drawing>
              <wp:anchor distT="0" distB="0" distL="114300" distR="114300" simplePos="0" relativeHeight="251709440" behindDoc="0" locked="0" layoutInCell="1" allowOverlap="1" wp14:anchorId="49847BFD" wp14:editId="58E7F36F">
                <wp:simplePos x="0" y="0"/>
                <wp:positionH relativeFrom="column">
                  <wp:posOffset>3042976</wp:posOffset>
                </wp:positionH>
                <wp:positionV relativeFrom="paragraph">
                  <wp:posOffset>1067435</wp:posOffset>
                </wp:positionV>
                <wp:extent cx="62865" cy="396240"/>
                <wp:effectExtent l="25400" t="0" r="38735" b="60960"/>
                <wp:wrapNone/>
                <wp:docPr id="23" name="Pfeil nach unten 23"/>
                <wp:cNvGraphicFramePr/>
                <a:graphic xmlns:a="http://schemas.openxmlformats.org/drawingml/2006/main">
                  <a:graphicData uri="http://schemas.microsoft.com/office/word/2010/wordprocessingShape">
                    <wps:wsp>
                      <wps:cNvSpPr/>
                      <wps:spPr>
                        <a:xfrm>
                          <a:off x="0" y="0"/>
                          <a:ext cx="62865" cy="3962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E15EC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3" o:spid="_x0000_s1026" type="#_x0000_t67" style="position:absolute;margin-left:239.6pt;margin-top:84.05pt;width:4.95pt;height:3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" adj="19887" fillcolor="#4f81bd [3204]" strokecolor="#243f60 [1604]" strokeweight="2pt"/>
            </w:pict>
          </mc:Fallback>
        </mc:AlternateContent>
      </w:r>
      <w:r w:rsidRPr="00172E83">
        <w:rPr>
          <w:rFonts w:ascii="Calibri" w:hAnsi="Calibri"/>
          <w:noProof/>
          <w:color w:val="000000" w:themeColor="text1"/>
          <w:sz w:val="22"/>
          <w:szCs w:val="22"/>
          <w:lang w:eastAsia="de-DE"/>
        </w:rPr>
        <mc:AlternateContent>
          <mc:Choice Requires="wps">
            <w:drawing>
              <wp:anchor distT="45720" distB="45720" distL="114300" distR="114300" simplePos="0" relativeHeight="251708416" behindDoc="0" locked="0" layoutInCell="1" allowOverlap="1" wp14:anchorId="76F8248A" wp14:editId="42C95ED9">
                <wp:simplePos x="0" y="0"/>
                <wp:positionH relativeFrom="column">
                  <wp:posOffset>1619057</wp:posOffset>
                </wp:positionH>
                <wp:positionV relativeFrom="paragraph">
                  <wp:posOffset>1149350</wp:posOffset>
                </wp:positionV>
                <wp:extent cx="1228725" cy="245745"/>
                <wp:effectExtent l="0" t="0" r="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45745"/>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73C1EECC" w14:textId="77777777" w:rsidR="00860C8F" w:rsidRPr="002B2DB1" w:rsidRDefault="00860C8F" w:rsidP="00287FA2">
                            <w:pPr>
                              <w:rPr>
                                <w:i/>
                                <w:lang w:val="en-US"/>
                              </w:rPr>
                            </w:pPr>
                            <w:r>
                              <w:rPr>
                                <w:i/>
                                <w:lang w:val="en-US"/>
                              </w:rPr>
                              <w:t>set</w:t>
                            </w:r>
                            <w:r w:rsidRPr="002B2DB1">
                              <w:rPr>
                                <w:i/>
                                <w:lang w:val="en-US"/>
                              </w:rPr>
                              <w:t xml:space="preserve"> boundaries for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6F8248A" id="_x0000_t202" coordsize="21600,21600" o:spt="202" path="m0,0l0,21600,21600,21600,21600,0xe">
                <v:stroke joinstyle="miter"/>
                <v:path gradientshapeok="t" o:connecttype="rect"/>
              </v:shapetype>
              <v:shape id="Textfeld 2" o:spid="_x0000_s1026" type="#_x0000_t202" style="position:absolute;left:0;text-align:left;margin-left:127.5pt;margin-top:90.5pt;width:96.75pt;height:19.3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" fillcolor="white [3201]" stroked="f">
                <v:textbox>
                  <w:txbxContent>
                    <w:p w14:paraId="73C1EECC" w14:textId="77777777" w:rsidR="00860C8F" w:rsidRPr="002B2DB1" w:rsidRDefault="00860C8F" w:rsidP="00287FA2">
                      <w:pPr>
                        <w:rPr>
                          <w:i/>
                          <w:lang w:val="en-US"/>
                        </w:rPr>
                      </w:pPr>
                      <w:r>
                        <w:rPr>
                          <w:i/>
                          <w:lang w:val="en-US"/>
                        </w:rPr>
                        <w:t>set</w:t>
                      </w:r>
                      <w:r w:rsidRPr="002B2DB1">
                        <w:rPr>
                          <w:i/>
                          <w:lang w:val="en-US"/>
                        </w:rPr>
                        <w:t xml:space="preserve"> boundaries for </w:t>
                      </w:r>
                    </w:p>
                  </w:txbxContent>
                </v:textbox>
                <w10:wrap type="square"/>
              </v:shape>
            </w:pict>
          </mc:Fallback>
        </mc:AlternateContent>
      </w:r>
      <w:r w:rsidRPr="00172E83">
        <w:rPr>
          <w:rFonts w:ascii="Calibri" w:hAnsi="Calibri"/>
          <w:b/>
          <w:noProof/>
          <w:color w:val="000000" w:themeColor="text1"/>
          <w:szCs w:val="22"/>
          <w:lang w:eastAsia="de-DE"/>
        </w:rPr>
        <mc:AlternateContent>
          <mc:Choice Requires="wps">
            <w:drawing>
              <wp:anchor distT="0" distB="0" distL="114300" distR="114300" simplePos="0" relativeHeight="251706368" behindDoc="0" locked="0" layoutInCell="1" allowOverlap="1" wp14:anchorId="37F4E3BF" wp14:editId="3F712093">
                <wp:simplePos x="0" y="0"/>
                <wp:positionH relativeFrom="margin">
                  <wp:posOffset>2211327</wp:posOffset>
                </wp:positionH>
                <wp:positionV relativeFrom="paragraph">
                  <wp:posOffset>605155</wp:posOffset>
                </wp:positionV>
                <wp:extent cx="2376805" cy="342900"/>
                <wp:effectExtent l="0" t="0" r="36195" b="38100"/>
                <wp:wrapThrough wrapText="bothSides">
                  <wp:wrapPolygon edited="0">
                    <wp:start x="0" y="0"/>
                    <wp:lineTo x="0" y="22400"/>
                    <wp:lineTo x="21698" y="22400"/>
                    <wp:lineTo x="21698" y="0"/>
                    <wp:lineTo x="0" y="0"/>
                  </wp:wrapPolygon>
                </wp:wrapThrough>
                <wp:docPr id="6" name="Retângulo 8"/>
                <wp:cNvGraphicFramePr/>
                <a:graphic xmlns:a="http://schemas.openxmlformats.org/drawingml/2006/main">
                  <a:graphicData uri="http://schemas.microsoft.com/office/word/2010/wordprocessingShape">
                    <wps:wsp>
                      <wps:cNvSpPr/>
                      <wps:spPr>
                        <a:xfrm>
                          <a:off x="0" y="0"/>
                          <a:ext cx="2376805"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2EDC2256" w14:textId="77777777" w:rsidR="00860C8F" w:rsidRPr="00376072" w:rsidRDefault="00860C8F" w:rsidP="00287FA2">
                            <w:pPr>
                              <w:jc w:val="center"/>
                              <w:rPr>
                                <w:b/>
                                <w:sz w:val="28"/>
                              </w:rPr>
                            </w:pPr>
                            <w:r w:rsidRPr="00376072">
                              <w:rPr>
                                <w:b/>
                                <w:sz w:val="28"/>
                              </w:rPr>
                              <w:t>External constraints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7F4E3BF" id="Retângulo 8" o:spid="_x0000_s1027" style="position:absolute;left:0;text-align:left;margin-left:174.1pt;margin-top:47.65pt;width:187.15pt;height:27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" fillcolor="white [3201]" strokecolor="black [3200]" strokeweight="2pt">
                <v:textbox>
                  <w:txbxContent>
                    <w:p w14:paraId="2EDC2256" w14:textId="77777777" w:rsidR="00860C8F" w:rsidRPr="00376072" w:rsidRDefault="00860C8F" w:rsidP="00287FA2">
                      <w:pPr>
                        <w:jc w:val="center"/>
                        <w:rPr>
                          <w:b/>
                          <w:sz w:val="28"/>
                        </w:rPr>
                      </w:pPr>
                      <w:r w:rsidRPr="00376072">
                        <w:rPr>
                          <w:b/>
                          <w:sz w:val="28"/>
                        </w:rPr>
                        <w:t>External constraints</w:t>
                      </w:r>
                    </w:p>
                  </w:txbxContent>
                </v:textbox>
                <w10:wrap type="through" anchorx="margin"/>
              </v:rect>
            </w:pict>
          </mc:Fallback>
        </mc:AlternateContent>
      </w:r>
      <w:r w:rsidRPr="00172E83">
        <w:rPr>
          <w:rFonts w:ascii="Calibri" w:hAnsi="Calibri"/>
          <w:b/>
          <w:noProof/>
          <w:color w:val="000000" w:themeColor="text1"/>
          <w:szCs w:val="22"/>
          <w:lang w:eastAsia="de-DE"/>
        </w:rPr>
        <mc:AlternateContent>
          <mc:Choice Requires="wps">
            <w:drawing>
              <wp:anchor distT="0" distB="0" distL="114300" distR="114300" simplePos="0" relativeHeight="251707392" behindDoc="0" locked="0" layoutInCell="1" allowOverlap="1" wp14:anchorId="521264EA" wp14:editId="24254C3D">
                <wp:simplePos x="0" y="0"/>
                <wp:positionH relativeFrom="column">
                  <wp:posOffset>1733743</wp:posOffset>
                </wp:positionH>
                <wp:positionV relativeFrom="paragraph">
                  <wp:posOffset>1612619</wp:posOffset>
                </wp:positionV>
                <wp:extent cx="3198302" cy="381635"/>
                <wp:effectExtent l="0" t="0" r="27940" b="24765"/>
                <wp:wrapNone/>
                <wp:docPr id="17" name="Textfeld 17"/>
                <wp:cNvGraphicFramePr/>
                <a:graphic xmlns:a="http://schemas.openxmlformats.org/drawingml/2006/main">
                  <a:graphicData uri="http://schemas.microsoft.com/office/word/2010/wordprocessingShape">
                    <wps:wsp>
                      <wps:cNvSpPr txBox="1"/>
                      <wps:spPr>
                        <a:xfrm>
                          <a:off x="0" y="0"/>
                          <a:ext cx="3198302" cy="381635"/>
                        </a:xfrm>
                        <a:prstGeom prst="rect">
                          <a:avLst/>
                        </a:prstGeom>
                        <a:ln/>
                      </wps:spPr>
                      <wps:style>
                        <a:lnRef idx="2">
                          <a:schemeClr val="dk1"/>
                        </a:lnRef>
                        <a:fillRef idx="1">
                          <a:schemeClr val="lt1"/>
                        </a:fillRef>
                        <a:effectRef idx="0">
                          <a:schemeClr val="dk1"/>
                        </a:effectRef>
                        <a:fontRef idx="minor">
                          <a:schemeClr val="dk1"/>
                        </a:fontRef>
                      </wps:style>
                      <wps:txbx>
                        <w:txbxContent>
                          <w:p w14:paraId="3E214344" w14:textId="77777777" w:rsidR="00860C8F" w:rsidRPr="00410399" w:rsidRDefault="00860C8F" w:rsidP="004764C9">
                            <w:pPr>
                              <w:jc w:val="center"/>
                              <w:rPr>
                                <w:b/>
                                <w:sz w:val="28"/>
                              </w:rPr>
                            </w:pPr>
                            <w:r w:rsidRPr="00410399">
                              <w:rPr>
                                <w:b/>
                                <w:sz w:val="28"/>
                              </w:rPr>
                              <w:t>Macroeconomic regime</w:t>
                            </w:r>
                          </w:p>
                          <w:p w14:paraId="1D1E4F7D" w14:textId="77777777" w:rsidR="00860C8F" w:rsidRDefault="00860C8F" w:rsidP="004764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21264EA" id="Textfeld 17" o:spid="_x0000_s1028" type="#_x0000_t202" style="position:absolute;left:0;text-align:left;margin-left:136.5pt;margin-top:127pt;width:251.85pt;height:3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" fillcolor="white [3201]" strokecolor="black [3200]" strokeweight="2pt">
                <v:textbox>
                  <w:txbxContent>
                    <w:p w14:paraId="3E214344" w14:textId="77777777" w:rsidR="00860C8F" w:rsidRPr="00410399" w:rsidRDefault="00860C8F" w:rsidP="004764C9">
                      <w:pPr>
                        <w:jc w:val="center"/>
                        <w:rPr>
                          <w:b/>
                          <w:sz w:val="28"/>
                        </w:rPr>
                      </w:pPr>
                      <w:r w:rsidRPr="00410399">
                        <w:rPr>
                          <w:b/>
                          <w:sz w:val="28"/>
                        </w:rPr>
                        <w:t>Macroeconomic regime</w:t>
                      </w:r>
                    </w:p>
                    <w:p w14:paraId="1D1E4F7D" w14:textId="77777777" w:rsidR="00860C8F" w:rsidRDefault="00860C8F" w:rsidP="004764C9">
                      <w:pPr>
                        <w:jc w:val="center"/>
                      </w:pPr>
                    </w:p>
                  </w:txbxContent>
                </v:textbox>
              </v:shape>
            </w:pict>
          </mc:Fallback>
        </mc:AlternateContent>
      </w:r>
      <w:r w:rsidRPr="00172E83">
        <w:rPr>
          <w:rFonts w:ascii="Calibri" w:hAnsi="Calibri"/>
          <w:noProof/>
          <w:color w:val="000000" w:themeColor="text1"/>
          <w:sz w:val="22"/>
          <w:szCs w:val="22"/>
          <w:lang w:eastAsia="de-DE"/>
        </w:rPr>
        <mc:AlternateContent>
          <mc:Choice Requires="wps">
            <w:drawing>
              <wp:anchor distT="0" distB="0" distL="114300" distR="114300" simplePos="0" relativeHeight="251710464" behindDoc="0" locked="0" layoutInCell="1" allowOverlap="1" wp14:anchorId="644F7BD3" wp14:editId="2C2FC112">
                <wp:simplePos x="0" y="0"/>
                <wp:positionH relativeFrom="column">
                  <wp:posOffset>3032125</wp:posOffset>
                </wp:positionH>
                <wp:positionV relativeFrom="paragraph">
                  <wp:posOffset>2072672</wp:posOffset>
                </wp:positionV>
                <wp:extent cx="78740" cy="445135"/>
                <wp:effectExtent l="25400" t="0" r="48260" b="62865"/>
                <wp:wrapNone/>
                <wp:docPr id="33" name="Pfeil nach unten 33"/>
                <wp:cNvGraphicFramePr/>
                <a:graphic xmlns:a="http://schemas.openxmlformats.org/drawingml/2006/main">
                  <a:graphicData uri="http://schemas.microsoft.com/office/word/2010/wordprocessingShape">
                    <wps:wsp>
                      <wps:cNvSpPr/>
                      <wps:spPr>
                        <a:xfrm>
                          <a:off x="0" y="0"/>
                          <a:ext cx="78740" cy="4451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1DDF122" id="Pfeil nach unten 33" o:spid="_x0000_s1026" type="#_x0000_t67" style="position:absolute;margin-left:238.75pt;margin-top:163.2pt;width:6.2pt;height:3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" adj="19690" fillcolor="#4f81bd [3204]" strokecolor="#243f60 [1604]" strokeweight="2pt"/>
            </w:pict>
          </mc:Fallback>
        </mc:AlternateContent>
      </w:r>
      <w:r w:rsidR="00287FA2" w:rsidRPr="00172E83">
        <w:rPr>
          <w:rFonts w:ascii="Calibri" w:hAnsi="Calibri"/>
          <w:b/>
          <w:noProof/>
          <w:color w:val="000000" w:themeColor="text1"/>
          <w:szCs w:val="22"/>
          <w:lang w:eastAsia="de-DE"/>
        </w:rPr>
        <mc:AlternateContent>
          <mc:Choice Requires="wps">
            <w:drawing>
              <wp:anchor distT="0" distB="0" distL="114300" distR="114300" simplePos="0" relativeHeight="251705344" behindDoc="0" locked="0" layoutInCell="1" allowOverlap="1" wp14:anchorId="076DADB7" wp14:editId="15ADF92F">
                <wp:simplePos x="0" y="0"/>
                <wp:positionH relativeFrom="margin">
                  <wp:posOffset>131445</wp:posOffset>
                </wp:positionH>
                <wp:positionV relativeFrom="paragraph">
                  <wp:posOffset>408940</wp:posOffset>
                </wp:positionV>
                <wp:extent cx="5947410" cy="4124325"/>
                <wp:effectExtent l="0" t="0" r="15240" b="28575"/>
                <wp:wrapThrough wrapText="bothSides">
                  <wp:wrapPolygon edited="0">
                    <wp:start x="0" y="0"/>
                    <wp:lineTo x="0" y="21650"/>
                    <wp:lineTo x="21586" y="21650"/>
                    <wp:lineTo x="21586" y="0"/>
                    <wp:lineTo x="0" y="0"/>
                  </wp:wrapPolygon>
                </wp:wrapThrough>
                <wp:docPr id="4" name="Retângulo 8"/>
                <wp:cNvGraphicFramePr/>
                <a:graphic xmlns:a="http://schemas.openxmlformats.org/drawingml/2006/main">
                  <a:graphicData uri="http://schemas.microsoft.com/office/word/2010/wordprocessingShape">
                    <wps:wsp>
                      <wps:cNvSpPr/>
                      <wps:spPr>
                        <a:xfrm>
                          <a:off x="0" y="0"/>
                          <a:ext cx="5947410" cy="41243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D79836D" id="Retângulo 8" o:spid="_x0000_s1026" style="position:absolute;margin-left:10.35pt;margin-top:32.2pt;width:468.3pt;height:324.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" fillcolor="white [3201]" strokecolor="black [3200]" strokeweight="2pt">
                <w10:wrap type="through" anchorx="margin"/>
              </v:rect>
            </w:pict>
          </mc:Fallback>
        </mc:AlternateContent>
      </w:r>
      <w:r w:rsidR="00287FA2" w:rsidRPr="00172E83">
        <w:rPr>
          <w:rFonts w:ascii="Calibri" w:hAnsi="Calibri"/>
          <w:noProof/>
          <w:color w:val="000000" w:themeColor="text1"/>
          <w:sz w:val="22"/>
          <w:szCs w:val="22"/>
          <w:lang w:eastAsia="de-DE"/>
        </w:rPr>
        <mc:AlternateContent>
          <mc:Choice Requires="wps">
            <w:drawing>
              <wp:anchor distT="0" distB="0" distL="114300" distR="114300" simplePos="0" relativeHeight="251719680" behindDoc="0" locked="0" layoutInCell="1" allowOverlap="1" wp14:anchorId="4E3D404A" wp14:editId="1ED823E9">
                <wp:simplePos x="0" y="0"/>
                <wp:positionH relativeFrom="column">
                  <wp:posOffset>4442461</wp:posOffset>
                </wp:positionH>
                <wp:positionV relativeFrom="paragraph">
                  <wp:posOffset>3405505</wp:posOffset>
                </wp:positionV>
                <wp:extent cx="1160780" cy="904875"/>
                <wp:effectExtent l="0" t="0" r="1270" b="9525"/>
                <wp:wrapNone/>
                <wp:docPr id="50" name="Textfeld 50"/>
                <wp:cNvGraphicFramePr/>
                <a:graphic xmlns:a="http://schemas.openxmlformats.org/drawingml/2006/main">
                  <a:graphicData uri="http://schemas.microsoft.com/office/word/2010/wordprocessingShape">
                    <wps:wsp>
                      <wps:cNvSpPr txBox="1"/>
                      <wps:spPr>
                        <a:xfrm>
                          <a:off x="0" y="0"/>
                          <a:ext cx="1160780"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BA2C3" w14:textId="77777777" w:rsidR="00860C8F" w:rsidRPr="00A473C0" w:rsidRDefault="00860C8F" w:rsidP="00287FA2">
                            <w:pPr>
                              <w:rPr>
                                <w:lang w:val="de-DE"/>
                              </w:rPr>
                            </w:pPr>
                            <w:r>
                              <w:rPr>
                                <w:lang w:val="de-DE"/>
                              </w:rPr>
                              <w:t xml:space="preserve">i.e. </w:t>
                            </w:r>
                            <w:r>
                              <w:rPr>
                                <w:lang w:val="de-DE"/>
                              </w:rPr>
                              <w:br/>
                              <w:t xml:space="preserve">financial market features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4E3D404A" id="Textfeld 50" o:spid="_x0000_s1029" type="#_x0000_t202" style="position:absolute;left:0;text-align:left;margin-left:349.8pt;margin-top:268.15pt;width:91.4pt;height:71.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" fillcolor="white [3201]" stroked="f" strokeweight=".5pt">
                <v:textbox>
                  <w:txbxContent>
                    <w:p w14:paraId="1E0BA2C3" w14:textId="77777777" w:rsidR="00860C8F" w:rsidRPr="00A473C0" w:rsidRDefault="00860C8F" w:rsidP="00287FA2">
                      <w:pPr>
                        <w:rPr>
                          <w:lang w:val="de-DE"/>
                        </w:rPr>
                      </w:pPr>
                      <w:r>
                        <w:rPr>
                          <w:lang w:val="de-DE"/>
                        </w:rPr>
                        <w:t xml:space="preserve">i.e. </w:t>
                      </w:r>
                      <w:r>
                        <w:rPr>
                          <w:lang w:val="de-DE"/>
                        </w:rPr>
                        <w:br/>
                        <w:t xml:space="preserve">financial market features </w:t>
                      </w:r>
                    </w:p>
                  </w:txbxContent>
                </v:textbox>
              </v:shape>
            </w:pict>
          </mc:Fallback>
        </mc:AlternateContent>
      </w:r>
      <w:r w:rsidR="00287FA2" w:rsidRPr="00172E83">
        <w:rPr>
          <w:rFonts w:ascii="Calibri" w:hAnsi="Calibri"/>
          <w:noProof/>
          <w:color w:val="000000" w:themeColor="text1"/>
          <w:sz w:val="22"/>
          <w:szCs w:val="22"/>
          <w:lang w:eastAsia="de-DE"/>
        </w:rPr>
        <mc:AlternateContent>
          <mc:Choice Requires="wps">
            <w:drawing>
              <wp:anchor distT="0" distB="0" distL="114300" distR="114300" simplePos="0" relativeHeight="251718656" behindDoc="0" locked="0" layoutInCell="1" allowOverlap="1" wp14:anchorId="64E670FE" wp14:editId="20E4DD6F">
                <wp:simplePos x="0" y="0"/>
                <wp:positionH relativeFrom="column">
                  <wp:posOffset>1299210</wp:posOffset>
                </wp:positionH>
                <wp:positionV relativeFrom="paragraph">
                  <wp:posOffset>3310255</wp:posOffset>
                </wp:positionV>
                <wp:extent cx="952500" cy="1019175"/>
                <wp:effectExtent l="0" t="0" r="0" b="9525"/>
                <wp:wrapNone/>
                <wp:docPr id="49" name="Textfeld 49"/>
                <wp:cNvGraphicFramePr/>
                <a:graphic xmlns:a="http://schemas.openxmlformats.org/drawingml/2006/main">
                  <a:graphicData uri="http://schemas.microsoft.com/office/word/2010/wordprocessingShape">
                    <wps:wsp>
                      <wps:cNvSpPr txBox="1"/>
                      <wps:spPr>
                        <a:xfrm>
                          <a:off x="0" y="0"/>
                          <a:ext cx="952500"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6FE230" w14:textId="77777777" w:rsidR="00860C8F" w:rsidRPr="00A473C0" w:rsidRDefault="00860C8F" w:rsidP="00287FA2">
                            <w:pPr>
                              <w:rPr>
                                <w:lang w:val="en-US"/>
                              </w:rPr>
                            </w:pPr>
                            <w:r w:rsidRPr="00A473C0">
                              <w:rPr>
                                <w:b/>
                                <w:i/>
                                <w:lang w:val="en-US"/>
                              </w:rPr>
                              <w:t>Aims</w:t>
                            </w:r>
                            <w:r w:rsidRPr="00A473C0">
                              <w:rPr>
                                <w:b/>
                                <w:i/>
                                <w:lang w:val="en-US"/>
                              </w:rPr>
                              <w:br/>
                              <w:t>Targets</w:t>
                            </w:r>
                            <w:r w:rsidRPr="00A473C0">
                              <w:rPr>
                                <w:b/>
                                <w:i/>
                                <w:lang w:val="en-US"/>
                              </w:rPr>
                              <w:br/>
                              <w:t>Tools</w:t>
                            </w:r>
                            <w:r w:rsidRPr="00A473C0">
                              <w:rPr>
                                <w:b/>
                                <w:i/>
                                <w:lang w:val="en-US"/>
                              </w:rPr>
                              <w:br/>
                            </w:r>
                            <w:r w:rsidRPr="00A473C0">
                              <w:rPr>
                                <w:lang w:val="en-US"/>
                              </w:rPr>
                              <w:t xml:space="preserve">      i.e. CAR</w:t>
                            </w:r>
                          </w:p>
                          <w:p w14:paraId="424532FD" w14:textId="77777777" w:rsidR="00860C8F" w:rsidRPr="00A473C0" w:rsidRDefault="00860C8F" w:rsidP="00287FA2">
                            <w:pPr>
                              <w:rPr>
                                <w:lang w:val="en-US"/>
                              </w:rPr>
                            </w:pPr>
                            <w:r w:rsidRPr="00A473C0">
                              <w:rPr>
                                <w:lang w:val="en-US"/>
                              </w:rPr>
                              <w:t>CAR: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4E670FE" id="Textfeld 49" o:spid="_x0000_s1030" type="#_x0000_t202" style="position:absolute;left:0;text-align:left;margin-left:102.3pt;margin-top:260.65pt;width:75pt;height:8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" fillcolor="white [3201]" stroked="f" strokeweight=".5pt">
                <v:textbox>
                  <w:txbxContent>
                    <w:p w14:paraId="3F6FE230" w14:textId="77777777" w:rsidR="00860C8F" w:rsidRPr="00A473C0" w:rsidRDefault="00860C8F" w:rsidP="00287FA2">
                      <w:pPr>
                        <w:rPr>
                          <w:lang w:val="en-US"/>
                        </w:rPr>
                      </w:pPr>
                      <w:r w:rsidRPr="00A473C0">
                        <w:rPr>
                          <w:b/>
                          <w:i/>
                          <w:lang w:val="en-US"/>
                        </w:rPr>
                        <w:t>Aims</w:t>
                      </w:r>
                      <w:r w:rsidRPr="00A473C0">
                        <w:rPr>
                          <w:b/>
                          <w:i/>
                          <w:lang w:val="en-US"/>
                        </w:rPr>
                        <w:br/>
                        <w:t>Targets</w:t>
                      </w:r>
                      <w:r w:rsidRPr="00A473C0">
                        <w:rPr>
                          <w:b/>
                          <w:i/>
                          <w:lang w:val="en-US"/>
                        </w:rPr>
                        <w:br/>
                        <w:t>Tools</w:t>
                      </w:r>
                      <w:r w:rsidRPr="00A473C0">
                        <w:rPr>
                          <w:b/>
                          <w:i/>
                          <w:lang w:val="en-US"/>
                        </w:rPr>
                        <w:br/>
                      </w:r>
                      <w:r w:rsidRPr="00A473C0">
                        <w:rPr>
                          <w:lang w:val="en-US"/>
                        </w:rPr>
                        <w:t xml:space="preserve">      i.e. CAR</w:t>
                      </w:r>
                    </w:p>
                    <w:p w14:paraId="424532FD" w14:textId="77777777" w:rsidR="00860C8F" w:rsidRPr="00A473C0" w:rsidRDefault="00860C8F" w:rsidP="00287FA2">
                      <w:pPr>
                        <w:rPr>
                          <w:lang w:val="en-US"/>
                        </w:rPr>
                      </w:pPr>
                      <w:r w:rsidRPr="00A473C0">
                        <w:rPr>
                          <w:lang w:val="en-US"/>
                        </w:rPr>
                        <w:t>CAR:</w:t>
                      </w:r>
                    </w:p>
                  </w:txbxContent>
                </v:textbox>
              </v:shape>
            </w:pict>
          </mc:Fallback>
        </mc:AlternateContent>
      </w:r>
      <w:r w:rsidR="00287FA2" w:rsidRPr="00172E83">
        <w:rPr>
          <w:rFonts w:ascii="Calibri" w:hAnsi="Calibri"/>
          <w:b/>
          <w:noProof/>
          <w:color w:val="000000" w:themeColor="text1"/>
          <w:szCs w:val="22"/>
          <w:lang w:eastAsia="de-DE"/>
        </w:rPr>
        <mc:AlternateContent>
          <mc:Choice Requires="wps">
            <w:drawing>
              <wp:anchor distT="0" distB="0" distL="114300" distR="114300" simplePos="0" relativeHeight="251712512" behindDoc="0" locked="0" layoutInCell="1" allowOverlap="1" wp14:anchorId="69BB1B37" wp14:editId="77D684DA">
                <wp:simplePos x="0" y="0"/>
                <wp:positionH relativeFrom="column">
                  <wp:posOffset>1356360</wp:posOffset>
                </wp:positionH>
                <wp:positionV relativeFrom="paragraph">
                  <wp:posOffset>2252980</wp:posOffset>
                </wp:positionV>
                <wp:extent cx="1228725" cy="325838"/>
                <wp:effectExtent l="0" t="0" r="9525" b="0"/>
                <wp:wrapNone/>
                <wp:docPr id="42" name="Textfeld 42"/>
                <wp:cNvGraphicFramePr/>
                <a:graphic xmlns:a="http://schemas.openxmlformats.org/drawingml/2006/main">
                  <a:graphicData uri="http://schemas.microsoft.com/office/word/2010/wordprocessingShape">
                    <wps:wsp>
                      <wps:cNvSpPr txBox="1"/>
                      <wps:spPr>
                        <a:xfrm>
                          <a:off x="0" y="0"/>
                          <a:ext cx="1228725" cy="3258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2EE9C" w14:textId="77777777" w:rsidR="00860C8F" w:rsidRPr="002B2DB1" w:rsidRDefault="00860C8F" w:rsidP="00287FA2">
                            <w:pPr>
                              <w:rPr>
                                <w:i/>
                                <w:lang w:val="en-US"/>
                              </w:rPr>
                            </w:pPr>
                            <w:r>
                              <w:rPr>
                                <w:i/>
                                <w:lang w:val="en-US"/>
                              </w:rPr>
                              <w:t>set</w:t>
                            </w:r>
                            <w:r w:rsidRPr="002B2DB1">
                              <w:rPr>
                                <w:i/>
                                <w:lang w:val="en-US"/>
                              </w:rPr>
                              <w:t xml:space="preserve"> boundaries </w:t>
                            </w:r>
                            <w:r>
                              <w:rPr>
                                <w:i/>
                                <w:lang w:val="en-US"/>
                              </w:rPr>
                              <w:t>for</w:t>
                            </w:r>
                          </w:p>
                          <w:p w14:paraId="0FB8C319" w14:textId="77777777" w:rsidR="00860C8F" w:rsidRDefault="00860C8F" w:rsidP="00287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9BB1B37" id="Textfeld 42" o:spid="_x0000_s1031" type="#_x0000_t202" style="position:absolute;left:0;text-align:left;margin-left:106.8pt;margin-top:177.4pt;width:96.75pt;height:2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" fillcolor="white [3201]" stroked="f" strokeweight=".5pt">
                <v:textbox>
                  <w:txbxContent>
                    <w:p w14:paraId="71F2EE9C" w14:textId="77777777" w:rsidR="00860C8F" w:rsidRPr="002B2DB1" w:rsidRDefault="00860C8F" w:rsidP="00287FA2">
                      <w:pPr>
                        <w:rPr>
                          <w:i/>
                          <w:lang w:val="en-US"/>
                        </w:rPr>
                      </w:pPr>
                      <w:r>
                        <w:rPr>
                          <w:i/>
                          <w:lang w:val="en-US"/>
                        </w:rPr>
                        <w:t>set</w:t>
                      </w:r>
                      <w:r w:rsidRPr="002B2DB1">
                        <w:rPr>
                          <w:i/>
                          <w:lang w:val="en-US"/>
                        </w:rPr>
                        <w:t xml:space="preserve"> boundaries </w:t>
                      </w:r>
                      <w:r>
                        <w:rPr>
                          <w:i/>
                          <w:lang w:val="en-US"/>
                        </w:rPr>
                        <w:t>for</w:t>
                      </w:r>
                    </w:p>
                    <w:p w14:paraId="0FB8C319" w14:textId="77777777" w:rsidR="00860C8F" w:rsidRDefault="00860C8F" w:rsidP="00287FA2"/>
                  </w:txbxContent>
                </v:textbox>
              </v:shape>
            </w:pict>
          </mc:Fallback>
        </mc:AlternateContent>
      </w:r>
      <w:r w:rsidR="00287FA2" w:rsidRPr="00172E83">
        <w:rPr>
          <w:rFonts w:ascii="Calibri" w:hAnsi="Calibri"/>
          <w:noProof/>
          <w:color w:val="000000" w:themeColor="text1"/>
          <w:sz w:val="22"/>
          <w:szCs w:val="22"/>
          <w:lang w:eastAsia="de-DE"/>
        </w:rPr>
        <mc:AlternateContent>
          <mc:Choice Requires="wps">
            <w:drawing>
              <wp:anchor distT="0" distB="0" distL="114300" distR="114300" simplePos="0" relativeHeight="251704320" behindDoc="0" locked="0" layoutInCell="1" allowOverlap="1" wp14:anchorId="38FF727C" wp14:editId="3AD7D032">
                <wp:simplePos x="0" y="0"/>
                <wp:positionH relativeFrom="column">
                  <wp:posOffset>1960245</wp:posOffset>
                </wp:positionH>
                <wp:positionV relativeFrom="paragraph">
                  <wp:posOffset>93980</wp:posOffset>
                </wp:positionV>
                <wp:extent cx="1828800" cy="0"/>
                <wp:effectExtent l="0" t="0" r="25400" b="25400"/>
                <wp:wrapNone/>
                <wp:docPr id="37" name="Conector Reto 37"/>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0C808BD" id="Conector Reto 3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54.35pt,7.4pt" to="298.35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" strokecolor="#4579b8 [3044]"/>
            </w:pict>
          </mc:Fallback>
        </mc:AlternateContent>
      </w:r>
    </w:p>
    <w:p w14:paraId="3580C231" w14:textId="34CCBDD7" w:rsidR="00287FA2" w:rsidRPr="00172E83" w:rsidRDefault="00287FA2" w:rsidP="00287FA2">
      <w:pPr>
        <w:pStyle w:val="Padro"/>
        <w:spacing w:after="0" w:line="360" w:lineRule="auto"/>
        <w:jc w:val="both"/>
        <w:rPr>
          <w:rFonts w:ascii="Calibri" w:hAnsi="Calibri"/>
          <w:color w:val="000000" w:themeColor="text1"/>
          <w:sz w:val="22"/>
          <w:szCs w:val="22"/>
          <w:lang w:val="en-US"/>
        </w:rPr>
      </w:pPr>
      <w:r w:rsidRPr="00172E83">
        <w:rPr>
          <w:rFonts w:ascii="Calibri" w:hAnsi="Calibri"/>
          <w:b/>
          <w:noProof/>
          <w:color w:val="000000" w:themeColor="text1"/>
          <w:szCs w:val="22"/>
          <w:lang w:eastAsia="de-DE"/>
        </w:rPr>
        <mc:AlternateContent>
          <mc:Choice Requires="wps">
            <w:drawing>
              <wp:anchor distT="0" distB="0" distL="114300" distR="114300" simplePos="0" relativeHeight="251713536" behindDoc="0" locked="0" layoutInCell="1" allowOverlap="1" wp14:anchorId="045ADD24" wp14:editId="2CE272CA">
                <wp:simplePos x="0" y="0"/>
                <wp:positionH relativeFrom="column">
                  <wp:posOffset>4392599</wp:posOffset>
                </wp:positionH>
                <wp:positionV relativeFrom="paragraph">
                  <wp:posOffset>2539945</wp:posOffset>
                </wp:positionV>
                <wp:extent cx="1208405" cy="355379"/>
                <wp:effectExtent l="0" t="0" r="10795" b="26035"/>
                <wp:wrapNone/>
                <wp:docPr id="44" name="Textfeld 44"/>
                <wp:cNvGraphicFramePr/>
                <a:graphic xmlns:a="http://schemas.openxmlformats.org/drawingml/2006/main">
                  <a:graphicData uri="http://schemas.microsoft.com/office/word/2010/wordprocessingShape">
                    <wps:wsp>
                      <wps:cNvSpPr txBox="1"/>
                      <wps:spPr>
                        <a:xfrm>
                          <a:off x="0" y="0"/>
                          <a:ext cx="1208405" cy="355379"/>
                        </a:xfrm>
                        <a:prstGeom prst="rect">
                          <a:avLst/>
                        </a:prstGeom>
                        <a:ln/>
                      </wps:spPr>
                      <wps:style>
                        <a:lnRef idx="2">
                          <a:schemeClr val="dk1"/>
                        </a:lnRef>
                        <a:fillRef idx="1">
                          <a:schemeClr val="lt1"/>
                        </a:fillRef>
                        <a:effectRef idx="0">
                          <a:schemeClr val="dk1"/>
                        </a:effectRef>
                        <a:fontRef idx="minor">
                          <a:schemeClr val="dk1"/>
                        </a:fontRef>
                      </wps:style>
                      <wps:txbx>
                        <w:txbxContent>
                          <w:p w14:paraId="4E1E125C" w14:textId="77777777" w:rsidR="00860C8F" w:rsidRPr="00707CB3" w:rsidRDefault="00860C8F" w:rsidP="00287FA2">
                            <w:pPr>
                              <w:rPr>
                                <w:b/>
                                <w:sz w:val="28"/>
                              </w:rPr>
                            </w:pPr>
                            <w:r>
                              <w:rPr>
                                <w:b/>
                                <w:sz w:val="28"/>
                              </w:rPr>
                              <w:t xml:space="preserve">  </w:t>
                            </w:r>
                            <w:r w:rsidRPr="00707CB3">
                              <w:rPr>
                                <w:b/>
                                <w:sz w:val="28"/>
                              </w:rPr>
                              <w:t>Institutions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45ADD24" id="Textfeld 44" o:spid="_x0000_s1032" type="#_x0000_t202" style="position:absolute;left:0;text-align:left;margin-left:345.85pt;margin-top:200pt;width:95.15pt;height:2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" fillcolor="white [3201]" strokecolor="black [3200]" strokeweight="2pt">
                <v:textbox>
                  <w:txbxContent>
                    <w:p w14:paraId="4E1E125C" w14:textId="77777777" w:rsidR="00860C8F" w:rsidRPr="00707CB3" w:rsidRDefault="00860C8F" w:rsidP="00287FA2">
                      <w:pPr>
                        <w:rPr>
                          <w:b/>
                          <w:sz w:val="28"/>
                        </w:rPr>
                      </w:pPr>
                      <w:r>
                        <w:rPr>
                          <w:b/>
                          <w:sz w:val="28"/>
                        </w:rPr>
                        <w:t xml:space="preserve">  </w:t>
                      </w:r>
                      <w:r w:rsidRPr="00707CB3">
                        <w:rPr>
                          <w:b/>
                          <w:sz w:val="28"/>
                        </w:rPr>
                        <w:t>Institutions</w:t>
                      </w:r>
                    </w:p>
                  </w:txbxContent>
                </v:textbox>
              </v:shape>
            </w:pict>
          </mc:Fallback>
        </mc:AlternateContent>
      </w:r>
      <w:r w:rsidRPr="00172E83">
        <w:rPr>
          <w:rFonts w:ascii="Calibri" w:hAnsi="Calibri"/>
          <w:b/>
          <w:noProof/>
          <w:color w:val="000000" w:themeColor="text1"/>
          <w:szCs w:val="22"/>
          <w:lang w:eastAsia="de-DE"/>
        </w:rPr>
        <mc:AlternateContent>
          <mc:Choice Requires="wps">
            <w:drawing>
              <wp:anchor distT="0" distB="0" distL="114300" distR="114300" simplePos="0" relativeHeight="251717632" behindDoc="0" locked="0" layoutInCell="1" allowOverlap="1" wp14:anchorId="065A7884" wp14:editId="57CE1E38">
                <wp:simplePos x="0" y="0"/>
                <wp:positionH relativeFrom="column">
                  <wp:posOffset>3343027</wp:posOffset>
                </wp:positionH>
                <wp:positionV relativeFrom="paragraph">
                  <wp:posOffset>2985218</wp:posOffset>
                </wp:positionV>
                <wp:extent cx="770255" cy="270344"/>
                <wp:effectExtent l="0" t="0" r="0" b="0"/>
                <wp:wrapNone/>
                <wp:docPr id="48" name="Textfeld 48"/>
                <wp:cNvGraphicFramePr/>
                <a:graphic xmlns:a="http://schemas.openxmlformats.org/drawingml/2006/main">
                  <a:graphicData uri="http://schemas.microsoft.com/office/word/2010/wordprocessingShape">
                    <wps:wsp>
                      <wps:cNvSpPr txBox="1"/>
                      <wps:spPr>
                        <a:xfrm>
                          <a:off x="0" y="0"/>
                          <a:ext cx="770255" cy="270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33A72" w14:textId="77777777" w:rsidR="00860C8F" w:rsidRPr="00707CB3" w:rsidRDefault="00860C8F" w:rsidP="00287FA2">
                            <w:pPr>
                              <w:rPr>
                                <w:i/>
                                <w:lang w:val="de-DE"/>
                              </w:rPr>
                            </w:pPr>
                            <w:r w:rsidRPr="00707CB3">
                              <w:rPr>
                                <w:i/>
                                <w:lang w:val="de-DE"/>
                              </w:rPr>
                              <w:t>sha</w:t>
                            </w:r>
                            <w:r>
                              <w:rPr>
                                <w:i/>
                                <w:lang w:val="de-DE"/>
                              </w:rPr>
                              <w:t>ping</w:t>
                            </w:r>
                          </w:p>
                          <w:p w14:paraId="60D61E40" w14:textId="77777777" w:rsidR="00860C8F" w:rsidRDefault="00860C8F" w:rsidP="00287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65A7884" id="Textfeld 48" o:spid="_x0000_s1033" type="#_x0000_t202" style="position:absolute;left:0;text-align:left;margin-left:263.25pt;margin-top:235.05pt;width:60.65pt;height:21.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" fillcolor="white [3201]" stroked="f" strokeweight=".5pt">
                <v:textbox>
                  <w:txbxContent>
                    <w:p w14:paraId="72B33A72" w14:textId="77777777" w:rsidR="00860C8F" w:rsidRPr="00707CB3" w:rsidRDefault="00860C8F" w:rsidP="00287FA2">
                      <w:pPr>
                        <w:rPr>
                          <w:i/>
                          <w:lang w:val="de-DE"/>
                        </w:rPr>
                      </w:pPr>
                      <w:r w:rsidRPr="00707CB3">
                        <w:rPr>
                          <w:i/>
                          <w:lang w:val="de-DE"/>
                        </w:rPr>
                        <w:t>sha</w:t>
                      </w:r>
                      <w:r>
                        <w:rPr>
                          <w:i/>
                          <w:lang w:val="de-DE"/>
                        </w:rPr>
                        <w:t>ping</w:t>
                      </w:r>
                    </w:p>
                    <w:p w14:paraId="60D61E40" w14:textId="77777777" w:rsidR="00860C8F" w:rsidRDefault="00860C8F" w:rsidP="00287FA2"/>
                  </w:txbxContent>
                </v:textbox>
              </v:shape>
            </w:pict>
          </mc:Fallback>
        </mc:AlternateContent>
      </w:r>
      <w:r w:rsidRPr="00172E83">
        <w:rPr>
          <w:rFonts w:ascii="Calibri" w:hAnsi="Calibri"/>
          <w:b/>
          <w:noProof/>
          <w:color w:val="000000" w:themeColor="text1"/>
          <w:szCs w:val="22"/>
          <w:lang w:eastAsia="de-DE"/>
        </w:rPr>
        <mc:AlternateContent>
          <mc:Choice Requires="wps">
            <w:drawing>
              <wp:anchor distT="0" distB="0" distL="114300" distR="114300" simplePos="0" relativeHeight="251714560" behindDoc="0" locked="0" layoutInCell="1" allowOverlap="1" wp14:anchorId="196A2203" wp14:editId="17A79480">
                <wp:simplePos x="0" y="0"/>
                <wp:positionH relativeFrom="column">
                  <wp:posOffset>3183890</wp:posOffset>
                </wp:positionH>
                <wp:positionV relativeFrom="paragraph">
                  <wp:posOffset>2780582</wp:posOffset>
                </wp:positionV>
                <wp:extent cx="1081378" cy="117254"/>
                <wp:effectExtent l="0" t="19050" r="43180" b="35560"/>
                <wp:wrapNone/>
                <wp:docPr id="45" name="Pfeil nach rechts 45"/>
                <wp:cNvGraphicFramePr/>
                <a:graphic xmlns:a="http://schemas.openxmlformats.org/drawingml/2006/main">
                  <a:graphicData uri="http://schemas.microsoft.com/office/word/2010/wordprocessingShape">
                    <wps:wsp>
                      <wps:cNvSpPr/>
                      <wps:spPr>
                        <a:xfrm>
                          <a:off x="0" y="0"/>
                          <a:ext cx="1081378" cy="11725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4B3BBB2"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5" o:spid="_x0000_s1026" type="#_x0000_t13" style="position:absolute;margin-left:250.7pt;margin-top:218.95pt;width:85.15pt;height: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" adj="20429" fillcolor="#4f81bd [3204]" strokecolor="#243f60 [1604]" strokeweight="2pt"/>
            </w:pict>
          </mc:Fallback>
        </mc:AlternateContent>
      </w:r>
      <w:r w:rsidRPr="00172E83">
        <w:rPr>
          <w:rFonts w:ascii="Calibri" w:hAnsi="Calibri"/>
          <w:b/>
          <w:noProof/>
          <w:color w:val="000000" w:themeColor="text1"/>
          <w:szCs w:val="22"/>
          <w:lang w:eastAsia="de-DE"/>
        </w:rPr>
        <mc:AlternateContent>
          <mc:Choice Requires="wps">
            <w:drawing>
              <wp:anchor distT="0" distB="0" distL="114300" distR="114300" simplePos="0" relativeHeight="251715584" behindDoc="0" locked="0" layoutInCell="1" allowOverlap="1" wp14:anchorId="12F8A9F3" wp14:editId="689C92A3">
                <wp:simplePos x="0" y="0"/>
                <wp:positionH relativeFrom="column">
                  <wp:posOffset>3159511</wp:posOffset>
                </wp:positionH>
                <wp:positionV relativeFrom="paragraph">
                  <wp:posOffset>2547371</wp:posOffset>
                </wp:positionV>
                <wp:extent cx="1104955" cy="128960"/>
                <wp:effectExtent l="19050" t="19050" r="19050" b="42545"/>
                <wp:wrapNone/>
                <wp:docPr id="46" name="Pfeil nach rechts 46"/>
                <wp:cNvGraphicFramePr/>
                <a:graphic xmlns:a="http://schemas.openxmlformats.org/drawingml/2006/main">
                  <a:graphicData uri="http://schemas.microsoft.com/office/word/2010/wordprocessingShape">
                    <wps:wsp>
                      <wps:cNvSpPr/>
                      <wps:spPr>
                        <a:xfrm rot="10800000">
                          <a:off x="0" y="0"/>
                          <a:ext cx="1104955" cy="1289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C7C5945" id="Pfeil nach rechts 46" o:spid="_x0000_s1026" type="#_x0000_t13" style="position:absolute;margin-left:248.8pt;margin-top:200.6pt;width:87pt;height:10.15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" adj="20340" fillcolor="#4f81bd [3204]" strokecolor="#243f60 [1604]" strokeweight="2pt"/>
            </w:pict>
          </mc:Fallback>
        </mc:AlternateContent>
      </w:r>
      <w:r w:rsidRPr="00172E83">
        <w:rPr>
          <w:rFonts w:ascii="Calibri" w:hAnsi="Calibri"/>
          <w:b/>
          <w:noProof/>
          <w:color w:val="000000" w:themeColor="text1"/>
          <w:szCs w:val="22"/>
          <w:lang w:eastAsia="de-DE"/>
        </w:rPr>
        <mc:AlternateContent>
          <mc:Choice Requires="wps">
            <w:drawing>
              <wp:anchor distT="0" distB="0" distL="114300" distR="114300" simplePos="0" relativeHeight="251716608" behindDoc="0" locked="0" layoutInCell="1" allowOverlap="1" wp14:anchorId="59B25C5E" wp14:editId="2A8E643B">
                <wp:simplePos x="0" y="0"/>
                <wp:positionH relativeFrom="column">
                  <wp:posOffset>3255562</wp:posOffset>
                </wp:positionH>
                <wp:positionV relativeFrom="paragraph">
                  <wp:posOffset>2285503</wp:posOffset>
                </wp:positionV>
                <wp:extent cx="1024890" cy="262393"/>
                <wp:effectExtent l="0" t="0" r="3810" b="4445"/>
                <wp:wrapNone/>
                <wp:docPr id="47" name="Textfeld 47"/>
                <wp:cNvGraphicFramePr/>
                <a:graphic xmlns:a="http://schemas.openxmlformats.org/drawingml/2006/main">
                  <a:graphicData uri="http://schemas.microsoft.com/office/word/2010/wordprocessingShape">
                    <wps:wsp>
                      <wps:cNvSpPr txBox="1"/>
                      <wps:spPr>
                        <a:xfrm>
                          <a:off x="0" y="0"/>
                          <a:ext cx="1024890" cy="262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35A64" w14:textId="77777777" w:rsidR="00860C8F" w:rsidRPr="00707CB3" w:rsidRDefault="00860C8F" w:rsidP="00287FA2">
                            <w:pPr>
                              <w:rPr>
                                <w:i/>
                                <w:lang w:val="de-DE"/>
                              </w:rPr>
                            </w:pPr>
                            <w:r w:rsidRPr="00707CB3">
                              <w:rPr>
                                <w:i/>
                                <w:lang w:val="de-DE"/>
                              </w:rPr>
                              <w:t>shaped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9B25C5E" id="Textfeld 47" o:spid="_x0000_s1034" type="#_x0000_t202" style="position:absolute;left:0;text-align:left;margin-left:256.35pt;margin-top:179.95pt;width:80.7pt;height:20.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" fillcolor="white [3201]" stroked="f" strokeweight=".5pt">
                <v:textbox>
                  <w:txbxContent>
                    <w:p w14:paraId="11535A64" w14:textId="77777777" w:rsidR="00860C8F" w:rsidRPr="00707CB3" w:rsidRDefault="00860C8F" w:rsidP="00287FA2">
                      <w:pPr>
                        <w:rPr>
                          <w:i/>
                          <w:lang w:val="de-DE"/>
                        </w:rPr>
                      </w:pPr>
                      <w:r w:rsidRPr="00707CB3">
                        <w:rPr>
                          <w:i/>
                          <w:lang w:val="de-DE"/>
                        </w:rPr>
                        <w:t>shaped by</w:t>
                      </w:r>
                    </w:p>
                  </w:txbxContent>
                </v:textbox>
              </v:shape>
            </w:pict>
          </mc:Fallback>
        </mc:AlternateContent>
      </w:r>
      <w:r w:rsidRPr="00172E83">
        <w:rPr>
          <w:rFonts w:ascii="Calibri" w:hAnsi="Calibri"/>
          <w:noProof/>
          <w:color w:val="000000" w:themeColor="text1"/>
          <w:sz w:val="22"/>
          <w:szCs w:val="22"/>
          <w:lang w:eastAsia="de-DE"/>
        </w:rPr>
        <mc:AlternateContent>
          <mc:Choice Requires="wps">
            <w:drawing>
              <wp:anchor distT="0" distB="0" distL="114300" distR="114300" simplePos="0" relativeHeight="251711488" behindDoc="0" locked="0" layoutInCell="1" allowOverlap="1" wp14:anchorId="33A7FC5B" wp14:editId="4E890F7E">
                <wp:simplePos x="0" y="0"/>
                <wp:positionH relativeFrom="column">
                  <wp:posOffset>861999</wp:posOffset>
                </wp:positionH>
                <wp:positionV relativeFrom="paragraph">
                  <wp:posOffset>2524042</wp:posOffset>
                </wp:positionV>
                <wp:extent cx="2099144" cy="381663"/>
                <wp:effectExtent l="0" t="0" r="15875" b="18415"/>
                <wp:wrapNone/>
                <wp:docPr id="41" name="Textfeld 41"/>
                <wp:cNvGraphicFramePr/>
                <a:graphic xmlns:a="http://schemas.openxmlformats.org/drawingml/2006/main">
                  <a:graphicData uri="http://schemas.microsoft.com/office/word/2010/wordprocessingShape">
                    <wps:wsp>
                      <wps:cNvSpPr txBox="1"/>
                      <wps:spPr>
                        <a:xfrm>
                          <a:off x="0" y="0"/>
                          <a:ext cx="2099144" cy="381663"/>
                        </a:xfrm>
                        <a:prstGeom prst="rect">
                          <a:avLst/>
                        </a:prstGeom>
                        <a:ln/>
                      </wps:spPr>
                      <wps:style>
                        <a:lnRef idx="2">
                          <a:schemeClr val="dk1"/>
                        </a:lnRef>
                        <a:fillRef idx="1">
                          <a:schemeClr val="lt1"/>
                        </a:fillRef>
                        <a:effectRef idx="0">
                          <a:schemeClr val="dk1"/>
                        </a:effectRef>
                        <a:fontRef idx="minor">
                          <a:schemeClr val="dk1"/>
                        </a:fontRef>
                      </wps:style>
                      <wps:txbx>
                        <w:txbxContent>
                          <w:p w14:paraId="45BF5956" w14:textId="77777777" w:rsidR="00860C8F" w:rsidRPr="002B2DB1" w:rsidRDefault="00860C8F" w:rsidP="00287FA2">
                            <w:pPr>
                              <w:rPr>
                                <w:b/>
                                <w:sz w:val="28"/>
                              </w:rPr>
                            </w:pPr>
                            <w:r w:rsidRPr="002B2DB1">
                              <w:rPr>
                                <w:b/>
                                <w:sz w:val="28"/>
                              </w:rPr>
                              <w:t>Macr</w:t>
                            </w:r>
                            <w:r>
                              <w:rPr>
                                <w:b/>
                                <w:sz w:val="28"/>
                              </w:rPr>
                              <w:t>oeconomic p</w:t>
                            </w:r>
                            <w:r w:rsidRPr="002B2DB1">
                              <w:rPr>
                                <w:b/>
                                <w:sz w:val="28"/>
                              </w:rPr>
                              <w:t>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3A7FC5B" id="Textfeld 41" o:spid="_x0000_s1035" type="#_x0000_t202" style="position:absolute;left:0;text-align:left;margin-left:67.85pt;margin-top:198.75pt;width:165.3pt;height:30.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" fillcolor="white [3201]" strokecolor="black [3200]" strokeweight="2pt">
                <v:textbox>
                  <w:txbxContent>
                    <w:p w14:paraId="45BF5956" w14:textId="77777777" w:rsidR="00860C8F" w:rsidRPr="002B2DB1" w:rsidRDefault="00860C8F" w:rsidP="00287FA2">
                      <w:pPr>
                        <w:rPr>
                          <w:b/>
                          <w:sz w:val="28"/>
                        </w:rPr>
                      </w:pPr>
                      <w:r w:rsidRPr="002B2DB1">
                        <w:rPr>
                          <w:b/>
                          <w:sz w:val="28"/>
                        </w:rPr>
                        <w:t>Macr</w:t>
                      </w:r>
                      <w:r>
                        <w:rPr>
                          <w:b/>
                          <w:sz w:val="28"/>
                        </w:rPr>
                        <w:t>oeconomic p</w:t>
                      </w:r>
                      <w:r w:rsidRPr="002B2DB1">
                        <w:rPr>
                          <w:b/>
                          <w:sz w:val="28"/>
                        </w:rPr>
                        <w:t>olicies</w:t>
                      </w:r>
                    </w:p>
                  </w:txbxContent>
                </v:textbox>
              </v:shape>
            </w:pict>
          </mc:Fallback>
        </mc:AlternateContent>
      </w:r>
      <w:r w:rsidRPr="00172E83">
        <w:rPr>
          <w:rFonts w:ascii="Calibri" w:hAnsi="Calibri"/>
          <w:color w:val="000000" w:themeColor="text1"/>
          <w:sz w:val="22"/>
          <w:szCs w:val="22"/>
          <w:lang w:val="en-US"/>
        </w:rPr>
        <w:t xml:space="preserve">      Authors’ elaboration.</w:t>
      </w:r>
    </w:p>
    <w:p w14:paraId="38212622" w14:textId="25DA0AA6" w:rsidR="00287FA2" w:rsidRPr="00172E83" w:rsidRDefault="00287FA2" w:rsidP="00287FA2">
      <w:pPr>
        <w:pStyle w:val="Padro"/>
        <w:spacing w:after="0" w:line="360" w:lineRule="auto"/>
        <w:jc w:val="both"/>
        <w:rPr>
          <w:rFonts w:ascii="Calibri" w:hAnsi="Calibri"/>
          <w:color w:val="000000" w:themeColor="text1"/>
          <w:sz w:val="22"/>
          <w:szCs w:val="22"/>
          <w:lang w:val="en-US"/>
        </w:rPr>
      </w:pPr>
    </w:p>
    <w:p w14:paraId="293D4BA5" w14:textId="21274D1C" w:rsidR="00FA2FFC" w:rsidRPr="00172E83" w:rsidRDefault="000C7F87" w:rsidP="00067587">
      <w:pPr>
        <w:jc w:val="both"/>
        <w:rPr>
          <w:rFonts w:ascii="Calibri" w:hAnsi="Calibri"/>
          <w:color w:val="000000" w:themeColor="text1"/>
          <w:lang w:val="en-US"/>
        </w:rPr>
      </w:pPr>
      <w:r w:rsidRPr="00172E83">
        <w:rPr>
          <w:rFonts w:ascii="Calibri" w:hAnsi="Calibri"/>
          <w:color w:val="000000" w:themeColor="text1"/>
          <w:lang w:val="en-US"/>
        </w:rPr>
        <w:t xml:space="preserve">Empirically, we compare </w:t>
      </w:r>
      <w:r w:rsidR="004A6792" w:rsidRPr="00172E83">
        <w:rPr>
          <w:rFonts w:ascii="Calibri" w:hAnsi="Calibri"/>
          <w:color w:val="000000" w:themeColor="text1"/>
          <w:lang w:val="en-US"/>
        </w:rPr>
        <w:t xml:space="preserve">the aims, targets and </w:t>
      </w:r>
      <w:r w:rsidR="00875E8E" w:rsidRPr="00172E83">
        <w:rPr>
          <w:rFonts w:ascii="Calibri" w:hAnsi="Calibri"/>
          <w:color w:val="000000" w:themeColor="text1"/>
          <w:lang w:val="en-US"/>
        </w:rPr>
        <w:t xml:space="preserve">tools </w:t>
      </w:r>
      <w:r w:rsidR="004A6792" w:rsidRPr="00172E83">
        <w:rPr>
          <w:rFonts w:ascii="Calibri" w:hAnsi="Calibri"/>
          <w:color w:val="000000" w:themeColor="text1"/>
          <w:lang w:val="en-US"/>
        </w:rPr>
        <w:t xml:space="preserve">of CAR in </w:t>
      </w:r>
      <w:r w:rsidRPr="00172E83">
        <w:rPr>
          <w:rFonts w:ascii="Calibri" w:hAnsi="Calibri"/>
          <w:color w:val="000000" w:themeColor="text1"/>
          <w:lang w:val="en-US"/>
        </w:rPr>
        <w:t>Brazil during two periods, the 1990s and the 20</w:t>
      </w:r>
      <w:r w:rsidR="00313BE8" w:rsidRPr="00172E83">
        <w:rPr>
          <w:rFonts w:ascii="Calibri" w:hAnsi="Calibri"/>
          <w:color w:val="000000" w:themeColor="text1"/>
          <w:lang w:val="en-US"/>
        </w:rPr>
        <w:t>1</w:t>
      </w:r>
      <w:r w:rsidRPr="00172E83">
        <w:rPr>
          <w:rFonts w:ascii="Calibri" w:hAnsi="Calibri"/>
          <w:color w:val="000000" w:themeColor="text1"/>
          <w:lang w:val="en-US"/>
        </w:rPr>
        <w:t>0s</w:t>
      </w:r>
      <w:r w:rsidR="00576FF3" w:rsidRPr="00172E83">
        <w:rPr>
          <w:rFonts w:ascii="Calibri" w:hAnsi="Calibri"/>
          <w:color w:val="000000" w:themeColor="text1"/>
          <w:lang w:val="en-US"/>
        </w:rPr>
        <w:t xml:space="preserve">. </w:t>
      </w:r>
      <w:r w:rsidR="00D757F7" w:rsidRPr="00172E83">
        <w:rPr>
          <w:rFonts w:ascii="Calibri" w:hAnsi="Calibri"/>
          <w:iCs/>
          <w:color w:val="000000" w:themeColor="text1"/>
          <w:lang w:val="en-US"/>
        </w:rPr>
        <w:t xml:space="preserve">Methodologically, our analysis is based on descriptive statistics and qualitative evaluation. Rather short time periods to be analyzed, frequent changes of regulation within these short periods, together with other variable changes such as repeated changes of capital inflow volumes and composition due to exogenous shocks and changes in monetary and exchange rate policies </w:t>
      </w:r>
      <w:r w:rsidR="00313BE8" w:rsidRPr="00172E83">
        <w:rPr>
          <w:rFonts w:ascii="Calibri" w:hAnsi="Calibri"/>
          <w:iCs/>
          <w:color w:val="000000" w:themeColor="text1"/>
          <w:lang w:val="en-US"/>
        </w:rPr>
        <w:t xml:space="preserve">render </w:t>
      </w:r>
      <w:r w:rsidR="00D757F7" w:rsidRPr="00172E83">
        <w:rPr>
          <w:rFonts w:ascii="Calibri" w:hAnsi="Calibri"/>
          <w:iCs/>
          <w:color w:val="000000" w:themeColor="text1"/>
          <w:lang w:val="en-US"/>
        </w:rPr>
        <w:t xml:space="preserve">time series analysis not very effective. </w:t>
      </w:r>
      <w:r w:rsidR="00313BE8" w:rsidRPr="00172E83">
        <w:rPr>
          <w:rFonts w:ascii="Calibri" w:hAnsi="Calibri"/>
          <w:iCs/>
          <w:color w:val="000000" w:themeColor="text1"/>
          <w:lang w:val="en-US"/>
        </w:rPr>
        <w:t>Furthermore,</w:t>
      </w:r>
      <w:r w:rsidR="00D757F7" w:rsidRPr="00172E83">
        <w:rPr>
          <w:rFonts w:ascii="Calibri" w:hAnsi="Calibri"/>
          <w:iCs/>
          <w:color w:val="000000" w:themeColor="text1"/>
          <w:lang w:val="en-US"/>
        </w:rPr>
        <w:t xml:space="preserve"> regulations, capital volumes and composition and monetary policies are highly interdependent. For these reasons, we </w:t>
      </w:r>
      <w:r w:rsidR="00313BE8" w:rsidRPr="00172E83">
        <w:rPr>
          <w:rFonts w:ascii="Calibri" w:hAnsi="Calibri"/>
          <w:iCs/>
          <w:color w:val="000000" w:themeColor="text1"/>
          <w:lang w:val="en-US"/>
        </w:rPr>
        <w:t xml:space="preserve">have </w:t>
      </w:r>
      <w:r w:rsidR="006655AF" w:rsidRPr="00172E83">
        <w:rPr>
          <w:rFonts w:ascii="Calibri" w:hAnsi="Calibri"/>
          <w:iCs/>
          <w:color w:val="000000" w:themeColor="text1"/>
          <w:lang w:val="en-US"/>
        </w:rPr>
        <w:t>opted out of</w:t>
      </w:r>
      <w:r w:rsidR="00313BE8" w:rsidRPr="00172E83">
        <w:rPr>
          <w:rFonts w:ascii="Calibri" w:hAnsi="Calibri"/>
          <w:iCs/>
          <w:color w:val="000000" w:themeColor="text1"/>
          <w:lang w:val="en-US"/>
        </w:rPr>
        <w:t xml:space="preserve"> econometric analysis </w:t>
      </w:r>
      <w:r w:rsidR="00932E42" w:rsidRPr="00172E83">
        <w:rPr>
          <w:rFonts w:ascii="Calibri" w:hAnsi="Calibri"/>
          <w:iCs/>
          <w:color w:val="000000" w:themeColor="text1"/>
          <w:lang w:val="en-US"/>
        </w:rPr>
        <w:t>in our comparative case study</w:t>
      </w:r>
      <w:r w:rsidR="00D757F7" w:rsidRPr="00172E83">
        <w:rPr>
          <w:rFonts w:ascii="Calibri" w:hAnsi="Calibri"/>
          <w:iCs/>
          <w:color w:val="000000" w:themeColor="text1"/>
          <w:lang w:val="en-US"/>
        </w:rPr>
        <w:t>.</w:t>
      </w:r>
      <w:r w:rsidR="00BC41B4" w:rsidRPr="00172E83">
        <w:rPr>
          <w:rFonts w:ascii="Calibri" w:hAnsi="Calibri"/>
          <w:iCs/>
          <w:color w:val="000000" w:themeColor="text1"/>
          <w:lang w:val="en-US"/>
        </w:rPr>
        <w:t xml:space="preserve"> </w:t>
      </w:r>
    </w:p>
    <w:p w14:paraId="5D724E32" w14:textId="47893D73" w:rsidR="00576FF3" w:rsidRPr="00C665AC" w:rsidRDefault="00690398" w:rsidP="00690398">
      <w:pPr>
        <w:pStyle w:val="berschrift3"/>
        <w:spacing w:after="240"/>
        <w:rPr>
          <w:b/>
          <w:color w:val="000000" w:themeColor="text1"/>
          <w:lang w:val="en-US"/>
        </w:rPr>
      </w:pPr>
      <w:r w:rsidRPr="00C665AC">
        <w:rPr>
          <w:b/>
          <w:color w:val="000000" w:themeColor="text1"/>
          <w:lang w:val="en-US"/>
        </w:rPr>
        <w:t>3</w:t>
      </w:r>
      <w:r w:rsidR="00FB0CD9" w:rsidRPr="00C665AC">
        <w:rPr>
          <w:b/>
          <w:color w:val="000000" w:themeColor="text1"/>
          <w:lang w:val="en-US"/>
        </w:rPr>
        <w:t xml:space="preserve">. </w:t>
      </w:r>
      <w:r w:rsidR="00D757F7" w:rsidRPr="00C665AC">
        <w:rPr>
          <w:b/>
          <w:color w:val="000000" w:themeColor="text1"/>
          <w:lang w:val="en-US"/>
        </w:rPr>
        <w:t>Capital Account Regulation</w:t>
      </w:r>
      <w:r w:rsidR="00FB0CD9" w:rsidRPr="00C665AC">
        <w:rPr>
          <w:b/>
          <w:color w:val="000000" w:themeColor="text1"/>
          <w:lang w:val="en-US"/>
        </w:rPr>
        <w:t xml:space="preserve"> in</w:t>
      </w:r>
      <w:r w:rsidR="00D757F7" w:rsidRPr="00C665AC">
        <w:rPr>
          <w:b/>
          <w:color w:val="000000" w:themeColor="text1"/>
          <w:lang w:val="en-US"/>
        </w:rPr>
        <w:t xml:space="preserve"> Brazil</w:t>
      </w:r>
      <w:r w:rsidR="00FB0CD9" w:rsidRPr="00C665AC">
        <w:rPr>
          <w:b/>
          <w:color w:val="000000" w:themeColor="text1"/>
          <w:lang w:val="en-US"/>
        </w:rPr>
        <w:t xml:space="preserve">: </w:t>
      </w:r>
      <w:r w:rsidR="00CF172F" w:rsidRPr="00C665AC">
        <w:rPr>
          <w:b/>
          <w:color w:val="000000" w:themeColor="text1"/>
          <w:lang w:val="en-US"/>
        </w:rPr>
        <w:t>the case of the 1990s</w:t>
      </w:r>
    </w:p>
    <w:p w14:paraId="052EABC2" w14:textId="5252F0A0" w:rsidR="00FA69D0" w:rsidRPr="00172E83" w:rsidRDefault="00AD5EFB" w:rsidP="00FA69D0">
      <w:pPr>
        <w:pStyle w:val="Padro"/>
        <w:tabs>
          <w:tab w:val="left" w:pos="1418"/>
        </w:tabs>
        <w:spacing w:after="0" w:line="360" w:lineRule="auto"/>
        <w:jc w:val="both"/>
        <w:rPr>
          <w:rFonts w:ascii="Calibri" w:hAnsi="Calibri" w:cs="Calibri"/>
          <w:color w:val="000000" w:themeColor="text1"/>
          <w:sz w:val="22"/>
          <w:szCs w:val="22"/>
          <w:lang w:val="en-US"/>
        </w:rPr>
      </w:pPr>
      <w:r w:rsidRPr="00172E83">
        <w:rPr>
          <w:rFonts w:ascii="Calibri" w:hAnsi="Calibri" w:cs="Calibri"/>
          <w:color w:val="000000" w:themeColor="text1"/>
          <w:sz w:val="22"/>
          <w:szCs w:val="22"/>
          <w:lang w:val="en-US"/>
        </w:rPr>
        <w:t>T</w:t>
      </w:r>
      <w:r w:rsidR="00576FF3" w:rsidRPr="00172E83">
        <w:rPr>
          <w:rFonts w:ascii="Calibri" w:hAnsi="Calibri" w:cs="Calibri"/>
          <w:color w:val="000000" w:themeColor="text1"/>
          <w:sz w:val="22"/>
          <w:szCs w:val="22"/>
          <w:lang w:val="en-US"/>
        </w:rPr>
        <w:t xml:space="preserve">his section </w:t>
      </w:r>
      <w:r w:rsidR="00690398" w:rsidRPr="00172E83">
        <w:rPr>
          <w:rFonts w:ascii="Calibri" w:hAnsi="Calibri" w:cs="Calibri"/>
          <w:color w:val="000000" w:themeColor="text1"/>
          <w:sz w:val="22"/>
          <w:szCs w:val="22"/>
          <w:lang w:val="en-US"/>
        </w:rPr>
        <w:t xml:space="preserve">starts with a review of the literature on </w:t>
      </w:r>
      <w:r w:rsidR="00690398" w:rsidRPr="00172E83">
        <w:rPr>
          <w:rFonts w:ascii="Calibri" w:hAnsi="Calibri"/>
          <w:color w:val="000000" w:themeColor="text1"/>
          <w:sz w:val="22"/>
          <w:szCs w:val="22"/>
          <w:lang w:val="en-GB"/>
        </w:rPr>
        <w:t xml:space="preserve">the CAR </w:t>
      </w:r>
      <w:r w:rsidR="00690398" w:rsidRPr="00172E83">
        <w:rPr>
          <w:rFonts w:ascii="Calibri" w:hAnsi="Calibri"/>
          <w:color w:val="000000" w:themeColor="text1"/>
          <w:sz w:val="22"/>
          <w:szCs w:val="22"/>
          <w:lang w:val="en-US"/>
        </w:rPr>
        <w:t xml:space="preserve">implemented in </w:t>
      </w:r>
      <w:r w:rsidR="00690398" w:rsidRPr="00172E83">
        <w:rPr>
          <w:rFonts w:ascii="Calibri" w:hAnsi="Calibri"/>
          <w:color w:val="000000" w:themeColor="text1"/>
          <w:sz w:val="22"/>
          <w:szCs w:val="22"/>
          <w:lang w:val="en-GB"/>
        </w:rPr>
        <w:t>Brazil during the 1990s</w:t>
      </w:r>
      <w:r w:rsidR="00690398" w:rsidRPr="00172E83">
        <w:rPr>
          <w:rFonts w:ascii="Calibri" w:hAnsi="Calibri" w:cs="Calibri"/>
          <w:color w:val="000000" w:themeColor="text1"/>
          <w:sz w:val="22"/>
          <w:szCs w:val="22"/>
          <w:lang w:val="en-US"/>
        </w:rPr>
        <w:t xml:space="preserve"> that focus on the</w:t>
      </w:r>
      <w:r w:rsidR="00690398" w:rsidRPr="00172E83">
        <w:rPr>
          <w:rFonts w:ascii="Calibri" w:hAnsi="Calibri"/>
          <w:color w:val="000000" w:themeColor="text1"/>
          <w:sz w:val="22"/>
          <w:szCs w:val="22"/>
          <w:lang w:val="en-GB"/>
        </w:rPr>
        <w:t xml:space="preserve"> effectiveness of this regulation, disregarding the </w:t>
      </w:r>
      <w:r w:rsidR="00690398" w:rsidRPr="00172E83">
        <w:rPr>
          <w:rFonts w:ascii="Calibri" w:hAnsi="Calibri"/>
          <w:iCs/>
          <w:color w:val="000000" w:themeColor="text1"/>
          <w:sz w:val="22"/>
          <w:szCs w:val="22"/>
          <w:lang w:val="en-US"/>
        </w:rPr>
        <w:t>macroeconomic and institutional contexts</w:t>
      </w:r>
      <w:r w:rsidR="00690398" w:rsidRPr="00172E83">
        <w:rPr>
          <w:rFonts w:ascii="Calibri" w:hAnsi="Calibri"/>
          <w:color w:val="000000" w:themeColor="text1"/>
          <w:sz w:val="22"/>
          <w:szCs w:val="22"/>
          <w:lang w:val="en-GB"/>
        </w:rPr>
        <w:t xml:space="preserve">. Thereafter, we </w:t>
      </w:r>
      <w:r w:rsidR="00576FF3" w:rsidRPr="00172E83">
        <w:rPr>
          <w:rFonts w:ascii="Calibri" w:hAnsi="Calibri"/>
          <w:iCs/>
          <w:color w:val="000000" w:themeColor="text1"/>
          <w:sz w:val="22"/>
          <w:szCs w:val="22"/>
          <w:lang w:val="en-US"/>
        </w:rPr>
        <w:t>undertake a qualitative assessment of the design of CAR</w:t>
      </w:r>
      <w:r w:rsidR="00690398" w:rsidRPr="00172E83">
        <w:rPr>
          <w:rFonts w:ascii="Calibri" w:hAnsi="Calibri"/>
          <w:iCs/>
          <w:color w:val="000000" w:themeColor="text1"/>
          <w:sz w:val="22"/>
          <w:szCs w:val="22"/>
          <w:lang w:val="en-US"/>
        </w:rPr>
        <w:t xml:space="preserve"> in such period </w:t>
      </w:r>
      <w:r w:rsidR="00576FF3" w:rsidRPr="00172E83">
        <w:rPr>
          <w:rFonts w:ascii="Calibri" w:hAnsi="Calibri"/>
          <w:iCs/>
          <w:color w:val="000000" w:themeColor="text1"/>
          <w:sz w:val="22"/>
          <w:szCs w:val="22"/>
          <w:lang w:val="en-US"/>
        </w:rPr>
        <w:t xml:space="preserve">within </w:t>
      </w:r>
      <w:r w:rsidR="00576FF3" w:rsidRPr="00172E83">
        <w:rPr>
          <w:rFonts w:ascii="Calibri" w:hAnsi="Calibri"/>
          <w:color w:val="000000" w:themeColor="text1"/>
          <w:sz w:val="22"/>
          <w:szCs w:val="22"/>
          <w:lang w:val="en-US"/>
        </w:rPr>
        <w:t>the</w:t>
      </w:r>
      <w:r w:rsidR="0008346F" w:rsidRPr="00172E83">
        <w:rPr>
          <w:rFonts w:ascii="Calibri" w:hAnsi="Calibri"/>
          <w:color w:val="000000" w:themeColor="text1"/>
          <w:sz w:val="22"/>
          <w:szCs w:val="22"/>
          <w:lang w:val="en-US"/>
        </w:rPr>
        <w:t xml:space="preserve"> macroeconomic regime in force.</w:t>
      </w:r>
    </w:p>
    <w:p w14:paraId="3A315177" w14:textId="6EA3466B" w:rsidR="007A4B0B" w:rsidRPr="00C665AC" w:rsidRDefault="00690398" w:rsidP="00280BFD">
      <w:pPr>
        <w:pStyle w:val="berschrift3"/>
        <w:spacing w:after="240"/>
        <w:rPr>
          <w:b/>
          <w:color w:val="000000" w:themeColor="text1"/>
          <w:lang w:val="en-US"/>
        </w:rPr>
      </w:pPr>
      <w:r w:rsidRPr="00C665AC">
        <w:rPr>
          <w:b/>
          <w:color w:val="000000" w:themeColor="text1"/>
          <w:lang w:val="en-US"/>
        </w:rPr>
        <w:t>3</w:t>
      </w:r>
      <w:r w:rsidR="00FB0CD9" w:rsidRPr="00C665AC">
        <w:rPr>
          <w:b/>
          <w:color w:val="000000" w:themeColor="text1"/>
          <w:lang w:val="en-US"/>
        </w:rPr>
        <w:t xml:space="preserve">a. </w:t>
      </w:r>
      <w:r w:rsidR="00CF172F" w:rsidRPr="00C665AC">
        <w:rPr>
          <w:b/>
          <w:color w:val="000000" w:themeColor="text1"/>
          <w:lang w:val="en-US"/>
        </w:rPr>
        <w:t xml:space="preserve">The </w:t>
      </w:r>
      <w:r w:rsidRPr="00C665AC">
        <w:rPr>
          <w:b/>
          <w:color w:val="000000" w:themeColor="text1"/>
          <w:lang w:val="en-US"/>
        </w:rPr>
        <w:t>l</w:t>
      </w:r>
      <w:r w:rsidR="007A4B0B" w:rsidRPr="00C665AC">
        <w:rPr>
          <w:b/>
          <w:color w:val="000000" w:themeColor="text1"/>
          <w:lang w:val="en-US"/>
        </w:rPr>
        <w:t>iterature review</w:t>
      </w:r>
    </w:p>
    <w:p w14:paraId="288E7EE6" w14:textId="77777777" w:rsidR="00690398" w:rsidRPr="00172E83" w:rsidRDefault="00690398" w:rsidP="00690398">
      <w:pPr>
        <w:pStyle w:val="Padro"/>
        <w:spacing w:after="120" w:line="360" w:lineRule="auto"/>
        <w:jc w:val="both"/>
        <w:rPr>
          <w:color w:val="000000" w:themeColor="text1"/>
          <w:lang w:val="en-US"/>
        </w:rPr>
      </w:pPr>
      <w:r w:rsidRPr="00172E83">
        <w:rPr>
          <w:rFonts w:ascii="Calibri" w:hAnsi="Calibri"/>
          <w:color w:val="000000" w:themeColor="text1"/>
          <w:sz w:val="22"/>
          <w:szCs w:val="22"/>
          <w:lang w:val="en-GB"/>
        </w:rPr>
        <w:t>Reviewing the literature, most studies focus in evaluating the effectiveness of CAR in Brazil during the 1990s. They argue that these were, at most, only efficient in the short term. In their comparative study on capital controls in emerging markets during the 1990s, Ariyoshi et al. (2000) conclude that ‘the controls maintained by Brazil appear to have been largely ineffective in achieving their stated object’ (Ariyoshi et al. 2000: 17). Thus, Brazil stands out against other cases analysed in their study, where the inflow controls achieved at least some of their intended objectives (maintaining a suitable wedge between domestic and foreign interest rates and reducing upward pressure on the exchange rate).</w:t>
      </w:r>
    </w:p>
    <w:p w14:paraId="7DA70256" w14:textId="77777777" w:rsidR="00690398" w:rsidRPr="00172E83" w:rsidRDefault="00690398" w:rsidP="00690398">
      <w:pPr>
        <w:pStyle w:val="Padro"/>
        <w:spacing w:after="120" w:line="360" w:lineRule="auto"/>
        <w:jc w:val="both"/>
        <w:rPr>
          <w:color w:val="000000" w:themeColor="text1"/>
          <w:lang w:val="en-US"/>
        </w:rPr>
      </w:pPr>
      <w:r w:rsidRPr="00172E83">
        <w:rPr>
          <w:rFonts w:ascii="Calibri" w:hAnsi="Calibri"/>
          <w:color w:val="000000" w:themeColor="text1"/>
          <w:sz w:val="22"/>
          <w:szCs w:val="22"/>
          <w:lang w:val="en-GB"/>
        </w:rPr>
        <w:t xml:space="preserve"> Others, such as Cardoso/Goldfajn (1997), Carvalho/Garcia (2001) and Reinhardt/Smith (1998), do find that these controls had at least temporary effects, especially on the composition of capital flows, although in the long run capital inflows remained unchanged by capital controls. The main argument brought forward by these studies is the ability of financial actors to circumvent controls due to the elevated sophistication</w:t>
      </w:r>
      <w:r w:rsidRPr="00172E83">
        <w:rPr>
          <w:rStyle w:val="Funotenzeichen"/>
          <w:rFonts w:ascii="Calibri" w:hAnsi="Calibri"/>
          <w:color w:val="000000" w:themeColor="text1"/>
          <w:sz w:val="22"/>
          <w:szCs w:val="22"/>
          <w:lang w:val="en-US"/>
        </w:rPr>
        <w:footnoteReference w:id="5"/>
      </w:r>
      <w:r w:rsidRPr="00172E83">
        <w:rPr>
          <w:rFonts w:ascii="Calibri" w:hAnsi="Calibri"/>
          <w:color w:val="000000" w:themeColor="text1"/>
          <w:sz w:val="22"/>
          <w:szCs w:val="22"/>
          <w:lang w:val="en-GB"/>
        </w:rPr>
        <w:t xml:space="preserve"> of the domestic financial sector in Brazil combined with a continuous and substantial interest rate differential, creating a strong motivation to rapidly circumvent the controls.</w:t>
      </w:r>
    </w:p>
    <w:p w14:paraId="0B1193B5" w14:textId="77777777" w:rsidR="00690398" w:rsidRPr="00172E83" w:rsidRDefault="00690398" w:rsidP="00690398">
      <w:pPr>
        <w:pStyle w:val="Blocktext"/>
        <w:rPr>
          <w:color w:val="000000" w:themeColor="text1"/>
        </w:rPr>
      </w:pPr>
      <w:r w:rsidRPr="00172E83">
        <w:rPr>
          <w:rFonts w:ascii="Calibri" w:hAnsi="Calibri" w:cs="Calibri"/>
          <w:color w:val="000000" w:themeColor="text1"/>
          <w:sz w:val="22"/>
          <w:szCs w:val="22"/>
        </w:rPr>
        <w:t>The main lesson from the Brazilian experience seems to be that the effectiveness of capital controls might be limited in an environment where the sophistication of the financial markets reduces the cost of circumvention relative to the incentives for circumvention. In the long run, repeated attempts by the authorities to restrict capital inflows were unsuccessful, since capital continued to find ways to enter the economy, particularly in view of the persistent incentives provided by interest rate differentials that remained high (Ariyoshi et al. 2000: 45f.).</w:t>
      </w:r>
    </w:p>
    <w:p w14:paraId="3C5C40F9" w14:textId="77777777" w:rsidR="00690398" w:rsidRPr="00172E83" w:rsidRDefault="00690398" w:rsidP="00690398">
      <w:pPr>
        <w:pStyle w:val="Padro"/>
        <w:spacing w:after="120" w:line="360" w:lineRule="auto"/>
        <w:jc w:val="both"/>
        <w:rPr>
          <w:color w:val="000000" w:themeColor="text1"/>
          <w:lang w:val="en-US"/>
        </w:rPr>
      </w:pPr>
      <w:r w:rsidRPr="00172E83">
        <w:rPr>
          <w:rFonts w:ascii="Calibri" w:hAnsi="Calibri"/>
          <w:color w:val="000000" w:themeColor="text1"/>
          <w:sz w:val="22"/>
          <w:szCs w:val="22"/>
          <w:lang w:val="en-GB"/>
        </w:rPr>
        <w:t xml:space="preserve">The evaluation of Williamson et al. (2003) points in a similar direction, but with reversed causality: Brazilian capital import controls were limited in their efficiency because the complexity of and frequent changes in the regulations to cope with circumvention strategies had weakened them. </w:t>
      </w:r>
    </w:p>
    <w:p w14:paraId="3A356F77" w14:textId="77777777" w:rsidR="00690398" w:rsidRPr="00172E83" w:rsidRDefault="00690398" w:rsidP="00690398">
      <w:pPr>
        <w:pStyle w:val="Padro"/>
        <w:spacing w:after="0" w:line="240" w:lineRule="auto"/>
        <w:jc w:val="center"/>
        <w:rPr>
          <w:color w:val="000000" w:themeColor="text1"/>
          <w:lang w:val="en-US"/>
        </w:rPr>
      </w:pPr>
      <w:r w:rsidRPr="00172E83">
        <w:rPr>
          <w:rFonts w:ascii="Calibri" w:hAnsi="Calibri"/>
          <w:b/>
          <w:color w:val="000000" w:themeColor="text1"/>
          <w:sz w:val="22"/>
          <w:szCs w:val="22"/>
          <w:lang w:val="en-GB"/>
        </w:rPr>
        <w:t>Table 1. Literature survey: Evaluation of effectiveness of [1990s] capital controls</w:t>
      </w:r>
    </w:p>
    <w:tbl>
      <w:tblPr>
        <w:tblW w:w="0" w:type="auto"/>
        <w:jc w:val="center"/>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firstRow="0" w:lastRow="0" w:firstColumn="0" w:lastColumn="0" w:noHBand="0" w:noVBand="0"/>
      </w:tblPr>
      <w:tblGrid>
        <w:gridCol w:w="2977"/>
        <w:gridCol w:w="3259"/>
        <w:gridCol w:w="3265"/>
      </w:tblGrid>
      <w:tr w:rsidR="00172E83" w:rsidRPr="00172E83" w14:paraId="7C8EB747" w14:textId="77777777" w:rsidTr="00E34C6D">
        <w:trPr>
          <w:jc w:val="center"/>
        </w:trPr>
        <w:tc>
          <w:tcPr>
            <w:tcW w:w="2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F020E5C" w14:textId="77777777" w:rsidR="00690398" w:rsidRPr="00172E83" w:rsidRDefault="00690398"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eastAsia="Arial Unicode MS" w:hAnsi="Calibri"/>
                <w:b/>
                <w:bCs/>
                <w:color w:val="000000" w:themeColor="text1"/>
                <w:sz w:val="22"/>
                <w:szCs w:val="22"/>
                <w:lang w:val="en-GB"/>
              </w:rPr>
              <w:t xml:space="preserve">Authors  </w:t>
            </w:r>
          </w:p>
        </w:tc>
        <w:tc>
          <w:tcPr>
            <w:tcW w:w="32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CEDA900" w14:textId="77777777" w:rsidR="00690398" w:rsidRPr="00172E83" w:rsidRDefault="00690398" w:rsidP="00E34C6D">
            <w:pPr>
              <w:pStyle w:val="Padro"/>
              <w:spacing w:after="0" w:line="100" w:lineRule="atLeast"/>
              <w:jc w:val="both"/>
              <w:textAlignment w:val="baseline"/>
              <w:rPr>
                <w:color w:val="000000" w:themeColor="text1"/>
              </w:rPr>
            </w:pPr>
            <w:r w:rsidRPr="00172E83">
              <w:rPr>
                <w:rFonts w:ascii="Calibri" w:hAnsi="Calibri"/>
                <w:b/>
                <w:bCs/>
                <w:color w:val="000000" w:themeColor="text1"/>
                <w:sz w:val="22"/>
                <w:szCs w:val="22"/>
                <w:lang w:val="en-GB"/>
              </w:rPr>
              <w:t xml:space="preserve">Reduces volume </w:t>
            </w:r>
          </w:p>
        </w:tc>
        <w:tc>
          <w:tcPr>
            <w:tcW w:w="32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4794D13" w14:textId="77777777" w:rsidR="00690398" w:rsidRPr="00172E83" w:rsidRDefault="00690398"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eastAsia="Arial Unicode MS" w:hAnsi="Calibri"/>
                <w:b/>
                <w:bCs/>
                <w:color w:val="000000" w:themeColor="text1"/>
                <w:sz w:val="22"/>
                <w:szCs w:val="22"/>
                <w:lang w:val="en-GB"/>
              </w:rPr>
              <w:t>Lengthens maturity</w:t>
            </w:r>
          </w:p>
        </w:tc>
      </w:tr>
      <w:tr w:rsidR="00172E83" w:rsidRPr="00172E83" w14:paraId="5B6985A4" w14:textId="77777777" w:rsidTr="00E34C6D">
        <w:trPr>
          <w:jc w:val="center"/>
        </w:trPr>
        <w:tc>
          <w:tcPr>
            <w:tcW w:w="2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A1A15C8" w14:textId="77777777" w:rsidR="00690398" w:rsidRPr="00172E83" w:rsidRDefault="00690398"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hAnsi="Calibri"/>
                <w:color w:val="000000" w:themeColor="text1"/>
                <w:sz w:val="22"/>
                <w:szCs w:val="22"/>
                <w:lang w:val="en-GB"/>
              </w:rPr>
              <w:t>Ariyoshi et al. (2000)</w:t>
            </w:r>
          </w:p>
        </w:tc>
        <w:tc>
          <w:tcPr>
            <w:tcW w:w="32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5C25E38" w14:textId="77777777" w:rsidR="00690398" w:rsidRPr="00172E83" w:rsidRDefault="00690398"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hAnsi="Calibri"/>
                <w:color w:val="000000" w:themeColor="text1"/>
                <w:sz w:val="22"/>
                <w:szCs w:val="22"/>
                <w:lang w:val="en-GB"/>
              </w:rPr>
              <w:t>0</w:t>
            </w:r>
          </w:p>
        </w:tc>
        <w:tc>
          <w:tcPr>
            <w:tcW w:w="32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CA5458A" w14:textId="77777777" w:rsidR="00690398" w:rsidRPr="00172E83" w:rsidRDefault="00690398"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hAnsi="Calibri"/>
                <w:color w:val="000000" w:themeColor="text1"/>
                <w:sz w:val="22"/>
                <w:szCs w:val="22"/>
                <w:lang w:val="en-GB"/>
              </w:rPr>
              <w:t>0</w:t>
            </w:r>
          </w:p>
        </w:tc>
      </w:tr>
      <w:tr w:rsidR="00172E83" w:rsidRPr="00172E83" w14:paraId="03A033BB" w14:textId="77777777" w:rsidTr="00E34C6D">
        <w:trPr>
          <w:jc w:val="center"/>
        </w:trPr>
        <w:tc>
          <w:tcPr>
            <w:tcW w:w="2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A38BB7E" w14:textId="77777777" w:rsidR="00690398" w:rsidRPr="00172E83" w:rsidRDefault="00690398"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hAnsi="Calibri"/>
                <w:color w:val="000000" w:themeColor="text1"/>
                <w:sz w:val="22"/>
                <w:szCs w:val="22"/>
                <w:lang w:val="en-GB"/>
              </w:rPr>
              <w:t>Cardoso/Goldfajn (1998)</w:t>
            </w:r>
          </w:p>
        </w:tc>
        <w:tc>
          <w:tcPr>
            <w:tcW w:w="32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D7DC596" w14:textId="77777777" w:rsidR="00690398" w:rsidRPr="00172E83" w:rsidRDefault="00690398"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hAnsi="Calibri"/>
                <w:color w:val="000000" w:themeColor="text1"/>
                <w:sz w:val="22"/>
                <w:szCs w:val="22"/>
                <w:lang w:val="en-GB"/>
              </w:rPr>
              <w:t>short term</w:t>
            </w:r>
          </w:p>
        </w:tc>
        <w:tc>
          <w:tcPr>
            <w:tcW w:w="32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D11EC3A" w14:textId="77777777" w:rsidR="00690398" w:rsidRPr="00172E83" w:rsidRDefault="00690398"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hAnsi="Calibri"/>
                <w:color w:val="000000" w:themeColor="text1"/>
                <w:sz w:val="22"/>
                <w:szCs w:val="22"/>
                <w:lang w:val="en-GB"/>
              </w:rPr>
              <w:t>short term</w:t>
            </w:r>
          </w:p>
        </w:tc>
      </w:tr>
      <w:tr w:rsidR="00172E83" w:rsidRPr="006D09DE" w14:paraId="1B7E9376" w14:textId="77777777" w:rsidTr="00E34C6D">
        <w:trPr>
          <w:jc w:val="center"/>
        </w:trPr>
        <w:tc>
          <w:tcPr>
            <w:tcW w:w="2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3ED4B6D" w14:textId="77777777" w:rsidR="00690398" w:rsidRPr="00172E83" w:rsidRDefault="00690398"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hAnsi="Calibri"/>
                <w:color w:val="000000" w:themeColor="text1"/>
                <w:sz w:val="22"/>
                <w:szCs w:val="22"/>
                <w:lang w:val="en-GB"/>
              </w:rPr>
              <w:t>Garcia/Barcinski (1997)</w:t>
            </w:r>
          </w:p>
        </w:tc>
        <w:tc>
          <w:tcPr>
            <w:tcW w:w="32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1735ACF" w14:textId="77777777" w:rsidR="00690398" w:rsidRPr="00172E83" w:rsidRDefault="00690398" w:rsidP="00E34C6D">
            <w:pPr>
              <w:pStyle w:val="Padro"/>
              <w:tabs>
                <w:tab w:val="left" w:pos="12960"/>
                <w:tab w:val="left" w:pos="13860"/>
              </w:tabs>
              <w:spacing w:after="0" w:line="100" w:lineRule="atLeast"/>
              <w:jc w:val="both"/>
              <w:textAlignment w:val="baseline"/>
              <w:rPr>
                <w:color w:val="000000" w:themeColor="text1"/>
                <w:lang w:val="en-US"/>
              </w:rPr>
            </w:pPr>
            <w:r w:rsidRPr="00172E83">
              <w:rPr>
                <w:rFonts w:ascii="Calibri" w:hAnsi="Calibri"/>
                <w:color w:val="000000" w:themeColor="text1"/>
                <w:sz w:val="22"/>
                <w:szCs w:val="22"/>
                <w:lang w:val="en-US"/>
              </w:rPr>
              <w:t xml:space="preserve">No econometric test; yet find CC ineffective for reduction of volume </w:t>
            </w:r>
          </w:p>
        </w:tc>
        <w:tc>
          <w:tcPr>
            <w:tcW w:w="32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16F723E" w14:textId="77777777" w:rsidR="00690398" w:rsidRPr="00172E83" w:rsidRDefault="00690398" w:rsidP="00E34C6D">
            <w:pPr>
              <w:pStyle w:val="Padro"/>
              <w:tabs>
                <w:tab w:val="left" w:pos="12960"/>
                <w:tab w:val="left" w:pos="13860"/>
              </w:tabs>
              <w:spacing w:after="0" w:line="100" w:lineRule="atLeast"/>
              <w:jc w:val="both"/>
              <w:textAlignment w:val="baseline"/>
              <w:rPr>
                <w:color w:val="000000" w:themeColor="text1"/>
                <w:lang w:val="en-US"/>
              </w:rPr>
            </w:pPr>
          </w:p>
        </w:tc>
      </w:tr>
      <w:tr w:rsidR="00172E83" w:rsidRPr="00172E83" w14:paraId="72C728B6" w14:textId="77777777" w:rsidTr="00E34C6D">
        <w:trPr>
          <w:jc w:val="center"/>
        </w:trPr>
        <w:tc>
          <w:tcPr>
            <w:tcW w:w="2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1EBCEA9" w14:textId="77777777" w:rsidR="00690398" w:rsidRPr="00172E83" w:rsidRDefault="00690398"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hAnsi="Calibri"/>
                <w:color w:val="000000" w:themeColor="text1"/>
                <w:sz w:val="22"/>
                <w:szCs w:val="22"/>
                <w:lang w:val="en-GB"/>
              </w:rPr>
              <w:t>Reinhart/Smith (1998)</w:t>
            </w:r>
          </w:p>
        </w:tc>
        <w:tc>
          <w:tcPr>
            <w:tcW w:w="32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E641D76" w14:textId="77777777" w:rsidR="00690398" w:rsidRPr="00172E83" w:rsidRDefault="00690398"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hAnsi="Calibri"/>
                <w:color w:val="000000" w:themeColor="text1"/>
                <w:sz w:val="22"/>
                <w:szCs w:val="22"/>
                <w:lang w:val="en-GB"/>
              </w:rPr>
              <w:t>short term</w:t>
            </w:r>
          </w:p>
        </w:tc>
        <w:tc>
          <w:tcPr>
            <w:tcW w:w="32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1CAF934" w14:textId="77777777" w:rsidR="00690398" w:rsidRPr="00172E83" w:rsidRDefault="00690398"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hAnsi="Calibri"/>
                <w:color w:val="000000" w:themeColor="text1"/>
                <w:sz w:val="22"/>
                <w:szCs w:val="22"/>
                <w:lang w:val="en-GB"/>
              </w:rPr>
              <w:t>short term</w:t>
            </w:r>
          </w:p>
        </w:tc>
      </w:tr>
      <w:tr w:rsidR="00172E83" w:rsidRPr="00172E83" w14:paraId="174FA319" w14:textId="77777777" w:rsidTr="00E34C6D">
        <w:trPr>
          <w:jc w:val="center"/>
        </w:trPr>
        <w:tc>
          <w:tcPr>
            <w:tcW w:w="2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D71D2BD" w14:textId="77777777" w:rsidR="00690398" w:rsidRPr="00172E83" w:rsidRDefault="00690398"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hAnsi="Calibri"/>
                <w:color w:val="000000" w:themeColor="text1"/>
                <w:sz w:val="22"/>
                <w:szCs w:val="22"/>
                <w:lang w:val="en-GB"/>
              </w:rPr>
              <w:t>Carvalho/Garcia (2001)</w:t>
            </w:r>
          </w:p>
        </w:tc>
        <w:tc>
          <w:tcPr>
            <w:tcW w:w="32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2AE89FA" w14:textId="77777777" w:rsidR="00690398" w:rsidRPr="00172E83" w:rsidRDefault="00690398" w:rsidP="00E34C6D">
            <w:pPr>
              <w:pStyle w:val="Padro"/>
              <w:tabs>
                <w:tab w:val="left" w:pos="12960"/>
                <w:tab w:val="left" w:pos="13860"/>
              </w:tabs>
              <w:spacing w:after="0" w:line="100" w:lineRule="atLeast"/>
              <w:jc w:val="both"/>
              <w:textAlignment w:val="baseline"/>
              <w:rPr>
                <w:rFonts w:ascii="Calibri" w:hAnsi="Calibri"/>
                <w:color w:val="000000" w:themeColor="text1"/>
                <w:sz w:val="22"/>
                <w:szCs w:val="22"/>
                <w:lang w:val="en-GB"/>
              </w:rPr>
            </w:pPr>
            <w:r w:rsidRPr="00172E83">
              <w:rPr>
                <w:rFonts w:ascii="Calibri" w:hAnsi="Calibri"/>
                <w:color w:val="000000" w:themeColor="text1"/>
                <w:sz w:val="22"/>
                <w:szCs w:val="22"/>
                <w:lang w:val="en-GB"/>
              </w:rPr>
              <w:t>short term</w:t>
            </w:r>
          </w:p>
        </w:tc>
        <w:tc>
          <w:tcPr>
            <w:tcW w:w="32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CF03C8C" w14:textId="77777777" w:rsidR="00690398" w:rsidRPr="00172E83" w:rsidRDefault="00690398" w:rsidP="00E34C6D">
            <w:pPr>
              <w:pStyle w:val="Padro"/>
              <w:spacing w:after="0" w:line="100" w:lineRule="atLeast"/>
              <w:jc w:val="both"/>
              <w:rPr>
                <w:rFonts w:ascii="Calibri" w:hAnsi="Calibri"/>
                <w:color w:val="000000" w:themeColor="text1"/>
                <w:sz w:val="22"/>
                <w:szCs w:val="22"/>
                <w:lang w:val="en-GB"/>
              </w:rPr>
            </w:pPr>
            <w:r w:rsidRPr="00172E83">
              <w:rPr>
                <w:rFonts w:ascii="Calibri" w:hAnsi="Calibri"/>
                <w:color w:val="000000" w:themeColor="text1"/>
                <w:sz w:val="22"/>
                <w:szCs w:val="22"/>
                <w:lang w:val="en-GB"/>
              </w:rPr>
              <w:t>short term</w:t>
            </w:r>
          </w:p>
        </w:tc>
      </w:tr>
      <w:tr w:rsidR="00172E83" w:rsidRPr="00172E83" w14:paraId="3DF971A5" w14:textId="77777777" w:rsidTr="00E34C6D">
        <w:trPr>
          <w:jc w:val="center"/>
        </w:trPr>
        <w:tc>
          <w:tcPr>
            <w:tcW w:w="2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530C08F" w14:textId="77777777" w:rsidR="00690398" w:rsidRPr="00172E83" w:rsidRDefault="00690398" w:rsidP="00E34C6D">
            <w:pPr>
              <w:pStyle w:val="Padro"/>
              <w:tabs>
                <w:tab w:val="left" w:pos="12960"/>
                <w:tab w:val="left" w:pos="13860"/>
              </w:tabs>
              <w:spacing w:after="0" w:line="100" w:lineRule="atLeast"/>
              <w:jc w:val="both"/>
              <w:textAlignment w:val="baseline"/>
              <w:rPr>
                <w:rFonts w:ascii="Calibri" w:hAnsi="Calibri"/>
                <w:color w:val="000000" w:themeColor="text1"/>
                <w:sz w:val="22"/>
                <w:szCs w:val="22"/>
                <w:lang w:val="en-GB"/>
              </w:rPr>
            </w:pPr>
            <w:r w:rsidRPr="00172E83">
              <w:rPr>
                <w:rFonts w:ascii="Calibri" w:hAnsi="Calibri"/>
                <w:color w:val="000000" w:themeColor="text1"/>
                <w:sz w:val="22"/>
                <w:szCs w:val="22"/>
                <w:lang w:val="en-GB"/>
              </w:rPr>
              <w:t>Williamson et al. (2003)</w:t>
            </w:r>
          </w:p>
        </w:tc>
        <w:tc>
          <w:tcPr>
            <w:tcW w:w="32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A581CEC" w14:textId="77777777" w:rsidR="00690398" w:rsidRPr="00172E83" w:rsidRDefault="00690398" w:rsidP="00E34C6D">
            <w:pPr>
              <w:pStyle w:val="Padro"/>
              <w:tabs>
                <w:tab w:val="left" w:pos="12960"/>
                <w:tab w:val="left" w:pos="13860"/>
              </w:tabs>
              <w:spacing w:after="0" w:line="100" w:lineRule="atLeast"/>
              <w:jc w:val="both"/>
              <w:textAlignment w:val="baseline"/>
              <w:rPr>
                <w:rFonts w:ascii="Calibri" w:hAnsi="Calibri"/>
                <w:color w:val="000000" w:themeColor="text1"/>
                <w:sz w:val="22"/>
                <w:szCs w:val="22"/>
                <w:lang w:val="en-GB"/>
              </w:rPr>
            </w:pPr>
            <w:r w:rsidRPr="00172E83">
              <w:rPr>
                <w:rFonts w:ascii="Calibri" w:hAnsi="Calibri"/>
                <w:color w:val="000000" w:themeColor="text1"/>
                <w:sz w:val="22"/>
                <w:szCs w:val="22"/>
                <w:lang w:val="en-GB"/>
              </w:rPr>
              <w:t>short term</w:t>
            </w:r>
          </w:p>
        </w:tc>
        <w:tc>
          <w:tcPr>
            <w:tcW w:w="32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15A3D96" w14:textId="77777777" w:rsidR="00690398" w:rsidRPr="00172E83" w:rsidRDefault="00690398" w:rsidP="00E34C6D">
            <w:pPr>
              <w:pStyle w:val="Padro"/>
              <w:spacing w:after="0" w:line="100" w:lineRule="atLeast"/>
              <w:jc w:val="both"/>
              <w:rPr>
                <w:rFonts w:ascii="Calibri" w:hAnsi="Calibri"/>
                <w:color w:val="000000" w:themeColor="text1"/>
                <w:sz w:val="22"/>
                <w:szCs w:val="22"/>
                <w:lang w:val="en-GB"/>
              </w:rPr>
            </w:pPr>
            <w:r w:rsidRPr="00172E83">
              <w:rPr>
                <w:rFonts w:ascii="Calibri" w:hAnsi="Calibri"/>
                <w:color w:val="000000" w:themeColor="text1"/>
                <w:sz w:val="22"/>
                <w:szCs w:val="22"/>
                <w:lang w:val="en-GB"/>
              </w:rPr>
              <w:t>short term</w:t>
            </w:r>
          </w:p>
        </w:tc>
      </w:tr>
    </w:tbl>
    <w:p w14:paraId="0B899228" w14:textId="08D16518" w:rsidR="007A4B0B" w:rsidRPr="00172E83" w:rsidRDefault="00690398" w:rsidP="00690398">
      <w:pPr>
        <w:pStyle w:val="Padro"/>
        <w:spacing w:after="120" w:line="360" w:lineRule="auto"/>
        <w:jc w:val="both"/>
        <w:rPr>
          <w:rFonts w:ascii="Calibri" w:hAnsi="Calibri"/>
          <w:color w:val="000000" w:themeColor="text1"/>
          <w:sz w:val="22"/>
          <w:szCs w:val="22"/>
          <w:lang w:val="en-US"/>
        </w:rPr>
      </w:pPr>
      <w:r w:rsidRPr="00172E83">
        <w:rPr>
          <w:rFonts w:ascii="Calibri" w:hAnsi="Calibri"/>
          <w:color w:val="000000" w:themeColor="text1"/>
          <w:sz w:val="22"/>
          <w:szCs w:val="22"/>
          <w:lang w:val="en-US"/>
        </w:rPr>
        <w:t xml:space="preserve">Source: own compilation </w:t>
      </w:r>
    </w:p>
    <w:p w14:paraId="6A7FF1EA" w14:textId="3B60ABE7" w:rsidR="0073236C" w:rsidRPr="00C665AC" w:rsidRDefault="00690398" w:rsidP="00280BFD">
      <w:pPr>
        <w:pStyle w:val="berschrift3"/>
        <w:spacing w:after="240"/>
        <w:rPr>
          <w:b/>
          <w:color w:val="000000" w:themeColor="text1"/>
          <w:lang w:val="en-US"/>
        </w:rPr>
      </w:pPr>
      <w:r w:rsidRPr="00C665AC">
        <w:rPr>
          <w:b/>
          <w:color w:val="000000" w:themeColor="text1"/>
          <w:lang w:val="en-US"/>
        </w:rPr>
        <w:t>3</w:t>
      </w:r>
      <w:r w:rsidR="007A4B0B" w:rsidRPr="00C665AC">
        <w:rPr>
          <w:b/>
          <w:color w:val="000000" w:themeColor="text1"/>
          <w:lang w:val="en-US"/>
        </w:rPr>
        <w:t>b.</w:t>
      </w:r>
      <w:r w:rsidR="00576FF3" w:rsidRPr="00C665AC">
        <w:rPr>
          <w:b/>
          <w:color w:val="000000" w:themeColor="text1"/>
          <w:lang w:val="en-US"/>
        </w:rPr>
        <w:t xml:space="preserve">: </w:t>
      </w:r>
      <w:r w:rsidR="00FB0CD9" w:rsidRPr="00C665AC">
        <w:rPr>
          <w:b/>
          <w:color w:val="000000" w:themeColor="text1"/>
          <w:lang w:val="en-US"/>
        </w:rPr>
        <w:t>CAR unde</w:t>
      </w:r>
      <w:r w:rsidR="00576FF3" w:rsidRPr="00C665AC">
        <w:rPr>
          <w:b/>
          <w:color w:val="000000" w:themeColor="text1"/>
          <w:lang w:val="en-US"/>
        </w:rPr>
        <w:t>r conditions of</w:t>
      </w:r>
      <w:r w:rsidR="00FB0CD9" w:rsidRPr="00C665AC">
        <w:rPr>
          <w:b/>
          <w:color w:val="000000" w:themeColor="text1"/>
          <w:lang w:val="en-US"/>
        </w:rPr>
        <w:t xml:space="preserve"> exchange rate-anchored stabilization</w:t>
      </w:r>
      <w:r w:rsidR="00AD5EFB" w:rsidRPr="00C665AC">
        <w:rPr>
          <w:b/>
          <w:color w:val="000000" w:themeColor="text1"/>
          <w:lang w:val="en-US"/>
        </w:rPr>
        <w:t xml:space="preserve"> and</w:t>
      </w:r>
      <w:r w:rsidR="00FB0CD9" w:rsidRPr="00C665AC">
        <w:rPr>
          <w:b/>
          <w:color w:val="000000" w:themeColor="text1"/>
          <w:lang w:val="en-US"/>
        </w:rPr>
        <w:t xml:space="preserve"> </w:t>
      </w:r>
      <w:r w:rsidR="00576FF3" w:rsidRPr="00C665AC">
        <w:rPr>
          <w:b/>
          <w:color w:val="000000" w:themeColor="text1"/>
          <w:lang w:val="en-US"/>
        </w:rPr>
        <w:t>external vulnerability</w:t>
      </w:r>
    </w:p>
    <w:p w14:paraId="49707FF0" w14:textId="77777777" w:rsidR="00FA2FFC" w:rsidRPr="00172E83" w:rsidRDefault="00D757F7">
      <w:pPr>
        <w:pStyle w:val="Padro"/>
        <w:spacing w:line="360" w:lineRule="auto"/>
        <w:jc w:val="both"/>
        <w:rPr>
          <w:color w:val="000000" w:themeColor="text1"/>
          <w:lang w:val="en-US"/>
        </w:rPr>
      </w:pPr>
      <w:r w:rsidRPr="00172E83">
        <w:rPr>
          <w:rFonts w:ascii="Calibri" w:hAnsi="Calibri" w:cs="Calibri"/>
          <w:color w:val="000000" w:themeColor="text1"/>
          <w:sz w:val="22"/>
          <w:szCs w:val="22"/>
          <w:lang w:val="en-GB"/>
        </w:rPr>
        <w:t xml:space="preserve">Coming </w:t>
      </w:r>
      <w:r w:rsidR="00313BE8" w:rsidRPr="00172E83">
        <w:rPr>
          <w:rFonts w:ascii="Calibri" w:hAnsi="Calibri" w:cs="Calibri"/>
          <w:color w:val="000000" w:themeColor="text1"/>
          <w:sz w:val="22"/>
          <w:szCs w:val="22"/>
          <w:lang w:val="en-GB"/>
        </w:rPr>
        <w:t xml:space="preserve">off </w:t>
      </w:r>
      <w:r w:rsidRPr="00172E83">
        <w:rPr>
          <w:rFonts w:ascii="Calibri" w:hAnsi="Calibri" w:cs="Calibri"/>
          <w:color w:val="000000" w:themeColor="text1"/>
          <w:sz w:val="22"/>
          <w:szCs w:val="22"/>
          <w:lang w:val="en-GB"/>
        </w:rPr>
        <w:t xml:space="preserve">a </w:t>
      </w:r>
      <w:r w:rsidR="00313BE8" w:rsidRPr="00172E83">
        <w:rPr>
          <w:rFonts w:ascii="Calibri" w:hAnsi="Calibri" w:cs="Calibri"/>
          <w:color w:val="000000" w:themeColor="text1"/>
          <w:sz w:val="22"/>
          <w:szCs w:val="22"/>
          <w:lang w:val="en-GB"/>
        </w:rPr>
        <w:t>lengthy</w:t>
      </w:r>
      <w:r w:rsidRPr="00172E83">
        <w:rPr>
          <w:rFonts w:ascii="Calibri" w:hAnsi="Calibri" w:cs="Calibri"/>
          <w:color w:val="000000" w:themeColor="text1"/>
          <w:sz w:val="22"/>
          <w:szCs w:val="22"/>
          <w:lang w:val="en-GB"/>
        </w:rPr>
        <w:t xml:space="preserve"> process of </w:t>
      </w:r>
      <w:r w:rsidR="00313BE8" w:rsidRPr="00172E83">
        <w:rPr>
          <w:rFonts w:ascii="Calibri" w:hAnsi="Calibri" w:cs="Calibri"/>
          <w:color w:val="000000" w:themeColor="text1"/>
          <w:sz w:val="22"/>
          <w:szCs w:val="22"/>
          <w:lang w:val="en-GB"/>
        </w:rPr>
        <w:t>rocketing</w:t>
      </w:r>
      <w:r w:rsidRPr="00172E83">
        <w:rPr>
          <w:rFonts w:ascii="Calibri" w:hAnsi="Calibri" w:cs="Calibri"/>
          <w:color w:val="000000" w:themeColor="text1"/>
          <w:sz w:val="22"/>
          <w:szCs w:val="22"/>
          <w:lang w:val="en-GB"/>
        </w:rPr>
        <w:t xml:space="preserve"> inflation an</w:t>
      </w:r>
      <w:r w:rsidR="004234BE" w:rsidRPr="00172E83">
        <w:rPr>
          <w:rFonts w:ascii="Calibri" w:hAnsi="Calibri" w:cs="Calibri"/>
          <w:color w:val="000000" w:themeColor="text1"/>
          <w:sz w:val="22"/>
          <w:szCs w:val="22"/>
          <w:lang w:val="en-GB"/>
        </w:rPr>
        <w:t>d a profound external debt crisi</w:t>
      </w:r>
      <w:r w:rsidRPr="00172E83">
        <w:rPr>
          <w:rFonts w:ascii="Calibri" w:hAnsi="Calibri" w:cs="Calibri"/>
          <w:color w:val="000000" w:themeColor="text1"/>
          <w:sz w:val="22"/>
          <w:szCs w:val="22"/>
          <w:lang w:val="en-GB"/>
        </w:rPr>
        <w:t xml:space="preserve">s, Brazil </w:t>
      </w:r>
      <w:r w:rsidR="00313BE8" w:rsidRPr="00172E83">
        <w:rPr>
          <w:rFonts w:ascii="Calibri" w:hAnsi="Calibri" w:cs="Calibri"/>
          <w:color w:val="000000" w:themeColor="text1"/>
          <w:sz w:val="22"/>
          <w:szCs w:val="22"/>
          <w:lang w:val="en-GB"/>
        </w:rPr>
        <w:t>managed to</w:t>
      </w:r>
      <w:r w:rsidRPr="00172E83">
        <w:rPr>
          <w:rFonts w:ascii="Calibri" w:hAnsi="Calibri" w:cs="Calibri"/>
          <w:color w:val="000000" w:themeColor="text1"/>
          <w:sz w:val="22"/>
          <w:szCs w:val="22"/>
          <w:lang w:val="en-GB"/>
        </w:rPr>
        <w:t xml:space="preserve"> successfully stabilize its currency by using the exchange rate as a nominal anchor in 1994. The so-called </w:t>
      </w:r>
      <w:r w:rsidRPr="00172E83">
        <w:rPr>
          <w:rFonts w:ascii="Calibri" w:hAnsi="Calibri" w:cs="Calibri"/>
          <w:i/>
          <w:color w:val="000000" w:themeColor="text1"/>
          <w:sz w:val="22"/>
          <w:szCs w:val="22"/>
          <w:lang w:val="en-GB"/>
        </w:rPr>
        <w:t>Plano Real</w:t>
      </w:r>
      <w:r w:rsidRPr="00172E83">
        <w:rPr>
          <w:rFonts w:ascii="Calibri" w:hAnsi="Calibri" w:cs="Calibri"/>
          <w:color w:val="000000" w:themeColor="text1"/>
          <w:sz w:val="22"/>
          <w:szCs w:val="22"/>
          <w:lang w:val="en-GB"/>
        </w:rPr>
        <w:t xml:space="preserve"> quickly </w:t>
      </w:r>
      <w:r w:rsidR="00313BE8" w:rsidRPr="00172E83">
        <w:rPr>
          <w:rFonts w:ascii="Calibri" w:hAnsi="Calibri" w:cs="Calibri"/>
          <w:color w:val="000000" w:themeColor="text1"/>
          <w:sz w:val="22"/>
          <w:szCs w:val="22"/>
          <w:lang w:val="en-GB"/>
        </w:rPr>
        <w:t xml:space="preserve">took </w:t>
      </w:r>
      <w:r w:rsidRPr="00172E83">
        <w:rPr>
          <w:rFonts w:ascii="Calibri" w:hAnsi="Calibri" w:cs="Calibri"/>
          <w:color w:val="000000" w:themeColor="text1"/>
          <w:sz w:val="22"/>
          <w:szCs w:val="22"/>
          <w:lang w:val="en-GB"/>
        </w:rPr>
        <w:t xml:space="preserve">inflation down from almost 3000% p.a. in 1993, to gradually achieve a level of less than 10% p.a. from 1996 on. In doing so, it followed the path of a large number of developing and emerging market economies, especially in Latin America and South East Asia, which opted for an exchange rate anchor during the 1990s. The aim was to gain credibility in terms of inflation expectations by clearly </w:t>
      </w:r>
      <w:r w:rsidR="00313BE8" w:rsidRPr="00172E83">
        <w:rPr>
          <w:rFonts w:ascii="Calibri" w:hAnsi="Calibri" w:cs="Calibri"/>
          <w:color w:val="000000" w:themeColor="text1"/>
          <w:sz w:val="22"/>
          <w:szCs w:val="22"/>
          <w:lang w:val="en-GB"/>
        </w:rPr>
        <w:t>prioritizing</w:t>
      </w:r>
      <w:r w:rsidRPr="00172E83">
        <w:rPr>
          <w:rFonts w:ascii="Calibri" w:hAnsi="Calibri" w:cs="Calibri"/>
          <w:color w:val="000000" w:themeColor="text1"/>
          <w:sz w:val="22"/>
          <w:szCs w:val="22"/>
          <w:lang w:val="en-GB"/>
        </w:rPr>
        <w:t xml:space="preserve"> the maintenance of a predetermined nominal exchange rate level in economic policy strategy. This was supposed to discipline monetary and fiscal policies at the domestic level (for an overview see Singh et al. 2005</w:t>
      </w:r>
      <w:r w:rsidR="00E14884" w:rsidRPr="00172E83">
        <w:rPr>
          <w:rFonts w:ascii="Calibri" w:hAnsi="Calibri" w:cs="Calibri"/>
          <w:color w:val="000000" w:themeColor="text1"/>
          <w:sz w:val="22"/>
          <w:szCs w:val="22"/>
          <w:lang w:val="en-GB"/>
        </w:rPr>
        <w:t>, and Fritz 2000</w:t>
      </w:r>
      <w:r w:rsidRPr="00172E83">
        <w:rPr>
          <w:rFonts w:ascii="Calibri" w:hAnsi="Calibri" w:cs="Calibri"/>
          <w:color w:val="000000" w:themeColor="text1"/>
          <w:sz w:val="22"/>
          <w:szCs w:val="22"/>
          <w:lang w:val="en-GB"/>
        </w:rPr>
        <w:t>).</w:t>
      </w:r>
    </w:p>
    <w:p w14:paraId="7BE90389" w14:textId="77777777" w:rsidR="00FA2FFC" w:rsidRPr="00172E83" w:rsidRDefault="00D757F7">
      <w:pPr>
        <w:pStyle w:val="Corpodetexto1"/>
        <w:spacing w:line="360" w:lineRule="auto"/>
        <w:jc w:val="both"/>
        <w:rPr>
          <w:rFonts w:ascii="Calibri" w:hAnsi="Calibri" w:cs="Calibri"/>
          <w:color w:val="000000" w:themeColor="text1"/>
          <w:sz w:val="22"/>
          <w:szCs w:val="22"/>
          <w:lang w:val="en-GB"/>
        </w:rPr>
      </w:pPr>
      <w:r w:rsidRPr="00172E83">
        <w:rPr>
          <w:rFonts w:ascii="Calibri" w:hAnsi="Calibri" w:cs="Calibri"/>
          <w:color w:val="000000" w:themeColor="text1"/>
          <w:sz w:val="22"/>
          <w:szCs w:val="22"/>
          <w:lang w:val="en-GB"/>
        </w:rPr>
        <w:t xml:space="preserve">The Brazilian version of the exchange rate anchor was not a radical fixing of the exchange rate (as </w:t>
      </w:r>
      <w:r w:rsidR="00313BE8" w:rsidRPr="00172E83">
        <w:rPr>
          <w:rFonts w:ascii="Calibri" w:hAnsi="Calibri" w:cs="Calibri"/>
          <w:color w:val="000000" w:themeColor="text1"/>
          <w:sz w:val="22"/>
          <w:szCs w:val="22"/>
          <w:lang w:val="en-GB"/>
        </w:rPr>
        <w:t>was the case with neighbouring</w:t>
      </w:r>
      <w:r w:rsidRPr="00172E83">
        <w:rPr>
          <w:rFonts w:ascii="Calibri" w:hAnsi="Calibri" w:cs="Calibri"/>
          <w:color w:val="000000" w:themeColor="text1"/>
          <w:sz w:val="22"/>
          <w:szCs w:val="22"/>
          <w:lang w:val="en-GB"/>
        </w:rPr>
        <w:t xml:space="preserve"> Argentina), but rather a fixing of the </w:t>
      </w:r>
      <w:r w:rsidR="00C15AF0" w:rsidRPr="00172E83">
        <w:rPr>
          <w:rFonts w:ascii="Calibri" w:hAnsi="Calibri" w:cs="Calibri"/>
          <w:color w:val="000000" w:themeColor="text1"/>
          <w:sz w:val="22"/>
          <w:szCs w:val="22"/>
          <w:lang w:val="en-GB"/>
        </w:rPr>
        <w:t xml:space="preserve">nominal </w:t>
      </w:r>
      <w:r w:rsidRPr="00172E83">
        <w:rPr>
          <w:rFonts w:ascii="Calibri" w:hAnsi="Calibri" w:cs="Calibri"/>
          <w:color w:val="000000" w:themeColor="text1"/>
          <w:sz w:val="22"/>
          <w:szCs w:val="22"/>
          <w:lang w:val="en-GB"/>
        </w:rPr>
        <w:t xml:space="preserve">exchange rate within a crawling band from March 1995 until January 1999. Devaluations of the crawling band ex post appeared to be rather constant (0.7% p.m.), but were handled discretionarily (graph 1). </w:t>
      </w:r>
    </w:p>
    <w:p w14:paraId="35398772" w14:textId="77777777" w:rsidR="00D757F7" w:rsidRPr="00172E83" w:rsidRDefault="00D757F7" w:rsidP="00416CFA">
      <w:pPr>
        <w:pStyle w:val="Textkrper"/>
        <w:spacing w:line="360" w:lineRule="auto"/>
        <w:jc w:val="center"/>
        <w:rPr>
          <w:rFonts w:asciiTheme="minorHAnsi" w:hAnsiTheme="minorHAnsi" w:cs="Calibri"/>
          <w:color w:val="000000" w:themeColor="text1"/>
        </w:rPr>
      </w:pPr>
      <w:r w:rsidRPr="00172E83">
        <w:rPr>
          <w:rFonts w:asciiTheme="minorHAnsi" w:hAnsiTheme="minorHAnsi" w:cs="Calibri"/>
          <w:b/>
          <w:color w:val="000000" w:themeColor="text1"/>
          <w:lang w:val="en-GB"/>
        </w:rPr>
        <w:t xml:space="preserve">Graph 1. </w:t>
      </w:r>
      <w:r w:rsidRPr="00172E83">
        <w:rPr>
          <w:rFonts w:asciiTheme="minorHAnsi" w:hAnsiTheme="minorHAnsi" w:cs="Calibri"/>
          <w:b/>
          <w:bCs/>
          <w:color w:val="000000" w:themeColor="text1"/>
        </w:rPr>
        <w:t>Exchange Rate (real and nominal) and Exchange Rate Band (ex post)</w:t>
      </w:r>
    </w:p>
    <w:p w14:paraId="7B0DF0CF" w14:textId="77777777" w:rsidR="00D757F7" w:rsidRPr="00172E83" w:rsidRDefault="00D757F7" w:rsidP="00D757F7">
      <w:pPr>
        <w:pStyle w:val="Textkrper"/>
        <w:spacing w:after="0" w:line="360" w:lineRule="auto"/>
        <w:jc w:val="center"/>
        <w:rPr>
          <w:rFonts w:asciiTheme="minorHAnsi" w:hAnsiTheme="minorHAnsi" w:cs="Calibri"/>
          <w:color w:val="000000" w:themeColor="text1"/>
          <w:lang w:val="en-GB"/>
        </w:rPr>
      </w:pPr>
      <w:r w:rsidRPr="00172E83">
        <w:rPr>
          <w:rFonts w:asciiTheme="minorHAnsi" w:hAnsiTheme="minorHAnsi"/>
          <w:noProof/>
          <w:color w:val="000000" w:themeColor="text1"/>
          <w:lang w:val="de-DE" w:eastAsia="de-DE"/>
        </w:rPr>
        <w:drawing>
          <wp:inline distT="0" distB="0" distL="0" distR="0" wp14:anchorId="361BA795" wp14:editId="5DF8D9DE">
            <wp:extent cx="4527550" cy="2933700"/>
            <wp:effectExtent l="19050" t="0" r="25400" b="0"/>
            <wp:docPr id="11"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DC3194" w14:textId="77777777" w:rsidR="00D757F7" w:rsidRPr="00172E83" w:rsidRDefault="00D757F7" w:rsidP="00D757F7">
      <w:pPr>
        <w:pStyle w:val="Textkrper"/>
        <w:spacing w:after="0" w:line="360" w:lineRule="auto"/>
        <w:jc w:val="both"/>
        <w:rPr>
          <w:rFonts w:asciiTheme="minorHAnsi" w:hAnsiTheme="minorHAnsi" w:cs="Calibri"/>
          <w:color w:val="000000" w:themeColor="text1"/>
          <w:sz w:val="20"/>
          <w:lang w:val="en-GB"/>
        </w:rPr>
      </w:pPr>
      <w:r w:rsidRPr="00172E83">
        <w:rPr>
          <w:rFonts w:asciiTheme="minorHAnsi" w:hAnsiTheme="minorHAnsi" w:cs="Calibri"/>
          <w:color w:val="000000" w:themeColor="text1"/>
          <w:lang w:val="en-GB"/>
        </w:rPr>
        <w:t xml:space="preserve">                   </w:t>
      </w:r>
      <w:r w:rsidRPr="00172E83">
        <w:rPr>
          <w:rFonts w:asciiTheme="minorHAnsi" w:hAnsiTheme="minorHAnsi" w:cs="Calibri"/>
          <w:color w:val="000000" w:themeColor="text1"/>
          <w:sz w:val="20"/>
          <w:lang w:val="en-GB"/>
        </w:rPr>
        <w:t>Source: IPEA data, authors’ own compilation</w:t>
      </w:r>
    </w:p>
    <w:p w14:paraId="7A66E8AF" w14:textId="77777777" w:rsidR="00FA2FFC" w:rsidRPr="00172E83" w:rsidRDefault="00FA2FFC">
      <w:pPr>
        <w:pStyle w:val="Corpodetexto1"/>
        <w:spacing w:line="360" w:lineRule="auto"/>
        <w:jc w:val="both"/>
        <w:rPr>
          <w:color w:val="000000" w:themeColor="text1"/>
          <w:lang w:val="en-GB"/>
        </w:rPr>
      </w:pPr>
    </w:p>
    <w:p w14:paraId="58F96D52" w14:textId="77777777" w:rsidR="00FA2FFC" w:rsidRPr="00172E83" w:rsidRDefault="00D757F7">
      <w:pPr>
        <w:pStyle w:val="Corpodetexto1"/>
        <w:spacing w:line="360" w:lineRule="auto"/>
        <w:jc w:val="both"/>
        <w:rPr>
          <w:color w:val="000000" w:themeColor="text1"/>
          <w:lang w:val="en-US"/>
        </w:rPr>
      </w:pPr>
      <w:r w:rsidRPr="00172E83">
        <w:rPr>
          <w:rFonts w:ascii="Calibri" w:hAnsi="Calibri" w:cs="Calibri"/>
          <w:color w:val="000000" w:themeColor="text1"/>
          <w:sz w:val="22"/>
          <w:szCs w:val="22"/>
          <w:lang w:val="en-GB"/>
        </w:rPr>
        <w:t xml:space="preserve">Due to inflation rate differentials that </w:t>
      </w:r>
      <w:r w:rsidR="00313BE8" w:rsidRPr="00172E83">
        <w:rPr>
          <w:rFonts w:ascii="Calibri" w:hAnsi="Calibri" w:cs="Calibri"/>
          <w:color w:val="000000" w:themeColor="text1"/>
          <w:sz w:val="22"/>
          <w:szCs w:val="22"/>
          <w:lang w:val="en-GB"/>
        </w:rPr>
        <w:t>constantly outstripped</w:t>
      </w:r>
      <w:r w:rsidRPr="00172E83">
        <w:rPr>
          <w:rFonts w:ascii="Calibri" w:hAnsi="Calibri" w:cs="Calibri"/>
          <w:color w:val="000000" w:themeColor="text1"/>
          <w:sz w:val="22"/>
          <w:szCs w:val="22"/>
          <w:lang w:val="en-GB"/>
        </w:rPr>
        <w:t xml:space="preserve"> nominal devaluation, the Brazilian currency significantly appreciated against the rest of the </w:t>
      </w:r>
      <w:r w:rsidR="00450ADD" w:rsidRPr="00172E83">
        <w:rPr>
          <w:rFonts w:ascii="Calibri" w:hAnsi="Calibri" w:cs="Calibri"/>
          <w:color w:val="000000" w:themeColor="text1"/>
          <w:sz w:val="22"/>
          <w:szCs w:val="22"/>
          <w:lang w:val="en-GB"/>
        </w:rPr>
        <w:t>world currencies in real terms</w:t>
      </w:r>
      <w:r w:rsidRPr="00172E83">
        <w:rPr>
          <w:rFonts w:ascii="Calibri" w:hAnsi="Calibri" w:cs="Calibri"/>
          <w:color w:val="000000" w:themeColor="text1"/>
          <w:sz w:val="22"/>
          <w:szCs w:val="22"/>
          <w:lang w:val="en-GB"/>
        </w:rPr>
        <w:t xml:space="preserve">. Together with trade liberalization, this real appreciation sharply turned trade flows. The current account, after having shown a slight surplus for some years, experienced sharply increased deficits between 1995 and 1999. </w:t>
      </w:r>
    </w:p>
    <w:p w14:paraId="73E3C46B" w14:textId="77777777" w:rsidR="004234BE" w:rsidRPr="00172E83" w:rsidRDefault="00D757F7">
      <w:pPr>
        <w:pStyle w:val="Corpodetexto1"/>
        <w:spacing w:line="360" w:lineRule="auto"/>
        <w:jc w:val="both"/>
        <w:rPr>
          <w:rFonts w:ascii="Calibri" w:hAnsi="Calibri" w:cs="Calibri"/>
          <w:color w:val="000000" w:themeColor="text1"/>
          <w:spacing w:val="-6"/>
          <w:sz w:val="22"/>
          <w:szCs w:val="22"/>
          <w:lang w:val="en-GB"/>
        </w:rPr>
      </w:pPr>
      <w:r w:rsidRPr="00172E83">
        <w:rPr>
          <w:rFonts w:ascii="Calibri" w:hAnsi="Calibri" w:cs="Calibri"/>
          <w:color w:val="000000" w:themeColor="text1"/>
          <w:spacing w:val="-6"/>
          <w:sz w:val="22"/>
          <w:szCs w:val="22"/>
          <w:lang w:val="en-GB"/>
        </w:rPr>
        <w:t>Simultaneously, capital inflows started growing quickly (see gra</w:t>
      </w:r>
      <w:r w:rsidR="00A0003B" w:rsidRPr="00172E83">
        <w:rPr>
          <w:rFonts w:ascii="Calibri" w:hAnsi="Calibri" w:cs="Calibri"/>
          <w:color w:val="000000" w:themeColor="text1"/>
          <w:spacing w:val="-6"/>
          <w:sz w:val="22"/>
          <w:szCs w:val="22"/>
          <w:lang w:val="en-GB"/>
        </w:rPr>
        <w:t>ph 2</w:t>
      </w:r>
      <w:r w:rsidRPr="00172E83">
        <w:rPr>
          <w:rFonts w:ascii="Calibri" w:hAnsi="Calibri" w:cs="Calibri"/>
          <w:color w:val="000000" w:themeColor="text1"/>
          <w:spacing w:val="-6"/>
          <w:sz w:val="22"/>
          <w:szCs w:val="22"/>
          <w:lang w:val="en-GB"/>
        </w:rPr>
        <w:t>). This surge was related to the swift inflation stabilization, but there were additional factors: (i) a Brady Plan for Brazil (concluded in April 1994) which finally regularized the country’s relations with the international financial community; (ii) sinking international interest rates</w:t>
      </w:r>
      <w:r w:rsidR="00C15AF0" w:rsidRPr="00172E83">
        <w:rPr>
          <w:rFonts w:ascii="Calibri" w:hAnsi="Calibri" w:cs="Calibri"/>
          <w:color w:val="000000" w:themeColor="text1"/>
          <w:spacing w:val="-6"/>
          <w:sz w:val="22"/>
          <w:szCs w:val="22"/>
          <w:lang w:val="en-GB"/>
        </w:rPr>
        <w:t xml:space="preserve"> in response to the advanced countries recession in the beginning of the 1990s</w:t>
      </w:r>
      <w:r w:rsidRPr="00172E83">
        <w:rPr>
          <w:rFonts w:ascii="Calibri" w:hAnsi="Calibri" w:cs="Calibri"/>
          <w:color w:val="000000" w:themeColor="text1"/>
          <w:spacing w:val="-6"/>
          <w:sz w:val="22"/>
          <w:szCs w:val="22"/>
          <w:lang w:val="en-GB"/>
        </w:rPr>
        <w:t xml:space="preserve">, which increased the volume of capital offered to emerging </w:t>
      </w:r>
      <w:r w:rsidR="00576FF3" w:rsidRPr="00172E83">
        <w:rPr>
          <w:rFonts w:ascii="Calibri" w:hAnsi="Calibri" w:cs="Calibri"/>
          <w:color w:val="000000" w:themeColor="text1"/>
          <w:spacing w:val="-6"/>
          <w:sz w:val="22"/>
          <w:szCs w:val="22"/>
          <w:lang w:val="en-GB"/>
        </w:rPr>
        <w:t xml:space="preserve">economies </w:t>
      </w:r>
      <w:r w:rsidR="003372A1" w:rsidRPr="00172E83">
        <w:rPr>
          <w:rFonts w:ascii="Calibri" w:hAnsi="Calibri" w:cs="Calibri"/>
          <w:color w:val="000000" w:themeColor="text1"/>
          <w:spacing w:val="-6"/>
          <w:sz w:val="22"/>
          <w:szCs w:val="22"/>
          <w:lang w:val="en-GB"/>
        </w:rPr>
        <w:t>(Calvo</w:t>
      </w:r>
      <w:r w:rsidR="00475164" w:rsidRPr="00172E83">
        <w:rPr>
          <w:rFonts w:ascii="Calibri" w:hAnsi="Calibri" w:cs="Calibri"/>
          <w:color w:val="000000" w:themeColor="text1"/>
          <w:spacing w:val="-6"/>
          <w:sz w:val="22"/>
          <w:szCs w:val="22"/>
          <w:lang w:val="en-GB"/>
        </w:rPr>
        <w:t xml:space="preserve"> et al</w:t>
      </w:r>
      <w:r w:rsidR="004A7A7A" w:rsidRPr="00172E83">
        <w:rPr>
          <w:rFonts w:ascii="Calibri" w:hAnsi="Calibri" w:cs="Calibri"/>
          <w:color w:val="000000" w:themeColor="text1"/>
          <w:spacing w:val="-6"/>
          <w:sz w:val="22"/>
          <w:szCs w:val="22"/>
          <w:lang w:val="en-GB"/>
        </w:rPr>
        <w:t>.</w:t>
      </w:r>
      <w:r w:rsidR="003372A1" w:rsidRPr="00172E83">
        <w:rPr>
          <w:rFonts w:ascii="Calibri" w:hAnsi="Calibri" w:cs="Calibri"/>
          <w:color w:val="000000" w:themeColor="text1"/>
          <w:spacing w:val="-6"/>
          <w:sz w:val="22"/>
          <w:szCs w:val="22"/>
          <w:lang w:val="en-GB"/>
        </w:rPr>
        <w:t xml:space="preserve"> 1993)</w:t>
      </w:r>
      <w:r w:rsidRPr="00172E83">
        <w:rPr>
          <w:rFonts w:ascii="Calibri" w:hAnsi="Calibri" w:cs="Calibri"/>
          <w:color w:val="000000" w:themeColor="text1"/>
          <w:spacing w:val="-6"/>
          <w:sz w:val="22"/>
          <w:szCs w:val="22"/>
          <w:lang w:val="en-GB"/>
        </w:rPr>
        <w:t>; (iii) a comprehensive privatization program of Brazilian public firms</w:t>
      </w:r>
      <w:r w:rsidR="00C15AF0" w:rsidRPr="00172E83">
        <w:rPr>
          <w:rFonts w:ascii="Calibri" w:hAnsi="Calibri" w:cs="Calibri"/>
          <w:color w:val="000000" w:themeColor="text1"/>
          <w:spacing w:val="-6"/>
          <w:sz w:val="22"/>
          <w:szCs w:val="22"/>
          <w:lang w:val="en-GB"/>
        </w:rPr>
        <w:t xml:space="preserve"> and banks</w:t>
      </w:r>
      <w:r w:rsidRPr="00172E83">
        <w:rPr>
          <w:rFonts w:ascii="Calibri" w:hAnsi="Calibri" w:cs="Calibri"/>
          <w:color w:val="000000" w:themeColor="text1"/>
          <w:spacing w:val="-6"/>
          <w:sz w:val="22"/>
          <w:szCs w:val="22"/>
          <w:lang w:val="en-GB"/>
        </w:rPr>
        <w:t>, where international investors were explicitly invited to participate (iv) and, last but not least, the opening of the Brazilian capital account</w:t>
      </w:r>
      <w:r w:rsidR="00313BE8" w:rsidRPr="00172E83">
        <w:rPr>
          <w:rFonts w:ascii="Calibri" w:hAnsi="Calibri" w:cs="Calibri"/>
          <w:color w:val="000000" w:themeColor="text1"/>
          <w:spacing w:val="-6"/>
          <w:sz w:val="22"/>
          <w:szCs w:val="22"/>
          <w:lang w:val="en-GB"/>
        </w:rPr>
        <w:t>,</w:t>
      </w:r>
      <w:r w:rsidRPr="00172E83">
        <w:rPr>
          <w:rFonts w:ascii="Calibri" w:hAnsi="Calibri" w:cs="Calibri"/>
          <w:color w:val="000000" w:themeColor="text1"/>
          <w:spacing w:val="-6"/>
          <w:sz w:val="22"/>
          <w:szCs w:val="22"/>
          <w:lang w:val="en-GB"/>
        </w:rPr>
        <w:t xml:space="preserve"> which </w:t>
      </w:r>
      <w:r w:rsidR="00E67569" w:rsidRPr="00172E83">
        <w:rPr>
          <w:rFonts w:ascii="Calibri" w:hAnsi="Calibri" w:cs="Calibri"/>
          <w:color w:val="000000" w:themeColor="text1"/>
          <w:spacing w:val="-6"/>
          <w:sz w:val="22"/>
          <w:szCs w:val="22"/>
          <w:lang w:val="en-GB"/>
        </w:rPr>
        <w:t>was a precondition for the Real Plan inasmuch as it enabled capital inflows and the accumulation of foreign exchange reserves in the period of 1990-93</w:t>
      </w:r>
      <w:r w:rsidR="00576FF3" w:rsidRPr="00172E83">
        <w:rPr>
          <w:rStyle w:val="Funotenzeichen"/>
          <w:rFonts w:ascii="Calibri" w:hAnsi="Calibri" w:cs="Calibri"/>
          <w:color w:val="000000" w:themeColor="text1"/>
          <w:spacing w:val="-6"/>
          <w:sz w:val="22"/>
          <w:szCs w:val="22"/>
          <w:lang w:val="en-GB"/>
        </w:rPr>
        <w:footnoteReference w:id="6"/>
      </w:r>
      <w:r w:rsidRPr="00172E83">
        <w:rPr>
          <w:rFonts w:ascii="Calibri" w:hAnsi="Calibri" w:cs="Calibri"/>
          <w:color w:val="000000" w:themeColor="text1"/>
          <w:spacing w:val="-6"/>
          <w:sz w:val="22"/>
          <w:szCs w:val="22"/>
          <w:lang w:val="en-GB"/>
        </w:rPr>
        <w:t xml:space="preserve"> </w:t>
      </w:r>
      <w:r w:rsidR="00671F48" w:rsidRPr="00172E83">
        <w:rPr>
          <w:rFonts w:ascii="Calibri" w:hAnsi="Calibri" w:cs="Calibri"/>
          <w:color w:val="000000" w:themeColor="text1"/>
          <w:spacing w:val="-6"/>
          <w:sz w:val="22"/>
          <w:szCs w:val="22"/>
          <w:lang w:val="en-GB"/>
        </w:rPr>
        <w:t>(</w:t>
      </w:r>
      <w:r w:rsidR="00665C5B" w:rsidRPr="00172E83">
        <w:rPr>
          <w:rFonts w:ascii="Calibri" w:hAnsi="Calibri" w:cs="Calibri"/>
          <w:color w:val="000000" w:themeColor="text1"/>
          <w:spacing w:val="-6"/>
          <w:sz w:val="22"/>
          <w:szCs w:val="22"/>
          <w:lang w:val="en-GB"/>
        </w:rPr>
        <w:t>Paula 2011</w:t>
      </w:r>
      <w:r w:rsidRPr="00172E83">
        <w:rPr>
          <w:rFonts w:ascii="Calibri" w:hAnsi="Calibri" w:cs="Calibri"/>
          <w:color w:val="000000" w:themeColor="text1"/>
          <w:spacing w:val="-6"/>
          <w:sz w:val="22"/>
          <w:szCs w:val="22"/>
          <w:lang w:val="en-GB"/>
        </w:rPr>
        <w:t xml:space="preserve">). </w:t>
      </w:r>
    </w:p>
    <w:p w14:paraId="03F330B7" w14:textId="77777777" w:rsidR="00D757F7" w:rsidRPr="00172E83" w:rsidRDefault="006D57BD" w:rsidP="00D757F7">
      <w:pPr>
        <w:pStyle w:val="Textkrper"/>
        <w:spacing w:after="0" w:line="240" w:lineRule="auto"/>
        <w:jc w:val="center"/>
        <w:rPr>
          <w:rFonts w:asciiTheme="minorHAnsi" w:hAnsiTheme="minorHAnsi" w:cs="Calibri"/>
          <w:color w:val="000000" w:themeColor="text1"/>
          <w:spacing w:val="-6"/>
          <w:lang w:val="en-GB"/>
        </w:rPr>
      </w:pPr>
      <w:r w:rsidRPr="00172E83">
        <w:rPr>
          <w:rFonts w:asciiTheme="minorHAnsi" w:hAnsiTheme="minorHAnsi" w:cs="Calibri"/>
          <w:b/>
          <w:color w:val="000000" w:themeColor="text1"/>
          <w:lang w:val="en-GB"/>
        </w:rPr>
        <w:t>Graph 2</w:t>
      </w:r>
      <w:r w:rsidR="00D757F7" w:rsidRPr="00172E83">
        <w:rPr>
          <w:rFonts w:asciiTheme="minorHAnsi" w:hAnsiTheme="minorHAnsi" w:cs="Calibri"/>
          <w:b/>
          <w:color w:val="000000" w:themeColor="text1"/>
          <w:lang w:val="en-GB"/>
        </w:rPr>
        <w:t>.  Net foreign capital inflows – USD million</w:t>
      </w:r>
    </w:p>
    <w:p w14:paraId="23A08911" w14:textId="77777777" w:rsidR="00D757F7" w:rsidRPr="00172E83" w:rsidRDefault="00D757F7" w:rsidP="00D757F7">
      <w:pPr>
        <w:pStyle w:val="Textkrper"/>
        <w:spacing w:line="360" w:lineRule="auto"/>
        <w:jc w:val="center"/>
        <w:rPr>
          <w:rFonts w:asciiTheme="minorHAnsi" w:hAnsiTheme="minorHAnsi" w:cs="Calibri"/>
          <w:color w:val="000000" w:themeColor="text1"/>
          <w:spacing w:val="-6"/>
          <w:highlight w:val="yellow"/>
          <w:lang w:val="en-GB"/>
        </w:rPr>
      </w:pPr>
      <w:r w:rsidRPr="00172E83">
        <w:rPr>
          <w:rFonts w:asciiTheme="minorHAnsi" w:hAnsiTheme="minorHAnsi"/>
          <w:noProof/>
          <w:color w:val="000000" w:themeColor="text1"/>
          <w:lang w:val="de-DE" w:eastAsia="de-DE"/>
        </w:rPr>
        <w:drawing>
          <wp:inline distT="0" distB="0" distL="0" distR="0" wp14:anchorId="2ECAF237" wp14:editId="3ABAF648">
            <wp:extent cx="4508500" cy="2787018"/>
            <wp:effectExtent l="19050" t="0" r="6350" b="0"/>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09495" cy="2787633"/>
                    </a:xfrm>
                    <a:prstGeom prst="rect">
                      <a:avLst/>
                    </a:prstGeom>
                    <a:noFill/>
                    <a:ln w="9525">
                      <a:noFill/>
                      <a:miter lim="800000"/>
                      <a:headEnd/>
                      <a:tailEnd/>
                    </a:ln>
                  </pic:spPr>
                </pic:pic>
              </a:graphicData>
            </a:graphic>
          </wp:inline>
        </w:drawing>
      </w:r>
    </w:p>
    <w:p w14:paraId="60B70792" w14:textId="77777777" w:rsidR="00FA2FFC" w:rsidRPr="00172E83" w:rsidRDefault="00FA2FFC">
      <w:pPr>
        <w:pStyle w:val="Corpodetexto1"/>
        <w:spacing w:line="360" w:lineRule="auto"/>
        <w:jc w:val="both"/>
        <w:rPr>
          <w:color w:val="000000" w:themeColor="text1"/>
        </w:rPr>
      </w:pPr>
    </w:p>
    <w:p w14:paraId="68AA674B" w14:textId="77777777" w:rsidR="001F0E89" w:rsidRPr="00172E83" w:rsidRDefault="006D57BD" w:rsidP="001F0E89">
      <w:pPr>
        <w:pStyle w:val="Corpodetexto1"/>
        <w:tabs>
          <w:tab w:val="left" w:pos="4962"/>
          <w:tab w:val="left" w:pos="5387"/>
        </w:tabs>
        <w:spacing w:line="360" w:lineRule="auto"/>
        <w:jc w:val="both"/>
        <w:rPr>
          <w:rFonts w:ascii="Calibri" w:hAnsi="Calibri" w:cs="Calibri"/>
          <w:color w:val="000000" w:themeColor="text1"/>
          <w:spacing w:val="-6"/>
          <w:sz w:val="22"/>
          <w:szCs w:val="22"/>
          <w:lang w:val="en-GB"/>
        </w:rPr>
      </w:pPr>
      <w:r w:rsidRPr="00172E83">
        <w:rPr>
          <w:rFonts w:ascii="Calibri" w:hAnsi="Calibri" w:cs="Calibri"/>
          <w:color w:val="000000" w:themeColor="text1"/>
          <w:sz w:val="22"/>
          <w:szCs w:val="22"/>
          <w:lang w:val="en-GB"/>
        </w:rPr>
        <w:t>A strong incentive for capital inflows via bank credit and portfolio capital</w:t>
      </w:r>
      <w:r w:rsidR="008C5589" w:rsidRPr="00172E83">
        <w:rPr>
          <w:rFonts w:ascii="Calibri" w:hAnsi="Calibri" w:cs="Calibri"/>
          <w:color w:val="000000" w:themeColor="text1"/>
          <w:sz w:val="22"/>
          <w:szCs w:val="22"/>
          <w:lang w:val="en-GB"/>
        </w:rPr>
        <w:t>, in particular,</w:t>
      </w:r>
      <w:r w:rsidRPr="00172E83">
        <w:rPr>
          <w:rFonts w:ascii="Calibri" w:hAnsi="Calibri" w:cs="Calibri"/>
          <w:color w:val="000000" w:themeColor="text1"/>
          <w:sz w:val="22"/>
          <w:szCs w:val="22"/>
          <w:lang w:val="en-GB"/>
        </w:rPr>
        <w:t xml:space="preserve"> was the high interest rate differential. Nominal and real interest rates in Brazil remained a</w:t>
      </w:r>
      <w:r w:rsidR="00A0003B" w:rsidRPr="00172E83">
        <w:rPr>
          <w:rFonts w:ascii="Calibri" w:hAnsi="Calibri" w:cs="Calibri"/>
          <w:color w:val="000000" w:themeColor="text1"/>
          <w:sz w:val="22"/>
          <w:szCs w:val="22"/>
          <w:lang w:val="en-GB"/>
        </w:rPr>
        <w:t>t a very high level (see graph 3</w:t>
      </w:r>
      <w:r w:rsidRPr="00172E83">
        <w:rPr>
          <w:rFonts w:ascii="Calibri" w:hAnsi="Calibri" w:cs="Calibri"/>
          <w:color w:val="000000" w:themeColor="text1"/>
          <w:sz w:val="22"/>
          <w:szCs w:val="22"/>
          <w:lang w:val="en-GB"/>
        </w:rPr>
        <w:t xml:space="preserve">), as monetary policy, </w:t>
      </w:r>
      <w:r w:rsidR="0012790B" w:rsidRPr="00172E83">
        <w:rPr>
          <w:rFonts w:ascii="Calibri" w:hAnsi="Calibri" w:cs="Calibri"/>
          <w:color w:val="000000" w:themeColor="text1"/>
          <w:sz w:val="22"/>
          <w:szCs w:val="22"/>
          <w:lang w:val="en-GB"/>
        </w:rPr>
        <w:t>despite</w:t>
      </w:r>
      <w:r w:rsidRPr="00172E83">
        <w:rPr>
          <w:rFonts w:ascii="Calibri" w:hAnsi="Calibri" w:cs="Calibri"/>
          <w:color w:val="000000" w:themeColor="text1"/>
          <w:sz w:val="22"/>
          <w:szCs w:val="22"/>
          <w:lang w:val="en-GB"/>
        </w:rPr>
        <w:t xml:space="preserve"> the stabilising effects of the exchange rate anchor, still had to compensate for only gradually evading inflation expectation</w:t>
      </w:r>
      <w:r w:rsidR="0012790B" w:rsidRPr="00172E83">
        <w:rPr>
          <w:rFonts w:ascii="Calibri" w:hAnsi="Calibri" w:cs="Calibri"/>
          <w:color w:val="000000" w:themeColor="text1"/>
          <w:sz w:val="22"/>
          <w:szCs w:val="22"/>
          <w:lang w:val="en-GB"/>
        </w:rPr>
        <w:t>s</w:t>
      </w:r>
      <w:r w:rsidRPr="00172E83">
        <w:rPr>
          <w:rFonts w:ascii="Calibri" w:hAnsi="Calibri" w:cs="Calibri"/>
          <w:color w:val="000000" w:themeColor="text1"/>
          <w:sz w:val="22"/>
          <w:szCs w:val="22"/>
          <w:lang w:val="en-GB"/>
        </w:rPr>
        <w:t xml:space="preserve"> and a softened version of exchange rate-based inflation stabilization to curb domestic demand </w:t>
      </w:r>
      <w:r w:rsidR="001F0E89" w:rsidRPr="00172E83">
        <w:rPr>
          <w:rFonts w:ascii="Calibri" w:hAnsi="Calibri" w:cs="Calibri"/>
          <w:color w:val="000000" w:themeColor="text1"/>
          <w:sz w:val="22"/>
          <w:szCs w:val="22"/>
          <w:lang w:val="en-GB"/>
        </w:rPr>
        <w:t xml:space="preserve">and attract capital flows </w:t>
      </w:r>
      <w:r w:rsidRPr="00172E83">
        <w:rPr>
          <w:rFonts w:ascii="Calibri" w:hAnsi="Calibri" w:cs="Calibri"/>
          <w:color w:val="000000" w:themeColor="text1"/>
          <w:sz w:val="22"/>
          <w:szCs w:val="22"/>
          <w:lang w:val="en-GB"/>
        </w:rPr>
        <w:t xml:space="preserve">in face of </w:t>
      </w:r>
      <w:r w:rsidR="001F0E89" w:rsidRPr="00172E83">
        <w:rPr>
          <w:rFonts w:ascii="Calibri" w:hAnsi="Calibri" w:cs="Calibri"/>
          <w:color w:val="000000" w:themeColor="text1"/>
          <w:sz w:val="22"/>
          <w:szCs w:val="22"/>
          <w:lang w:val="en-GB"/>
        </w:rPr>
        <w:t xml:space="preserve">both </w:t>
      </w:r>
      <w:r w:rsidRPr="00172E83">
        <w:rPr>
          <w:rFonts w:ascii="Calibri" w:hAnsi="Calibri" w:cs="Calibri"/>
          <w:color w:val="000000" w:themeColor="text1"/>
          <w:sz w:val="22"/>
          <w:szCs w:val="22"/>
          <w:lang w:val="en-GB"/>
        </w:rPr>
        <w:t>the increasing current account deficit</w:t>
      </w:r>
      <w:r w:rsidR="001F0E89" w:rsidRPr="00172E83">
        <w:rPr>
          <w:rFonts w:ascii="Calibri" w:hAnsi="Calibri" w:cs="Calibri"/>
          <w:color w:val="000000" w:themeColor="text1"/>
          <w:spacing w:val="-6"/>
          <w:sz w:val="22"/>
          <w:szCs w:val="22"/>
          <w:lang w:val="en-GB"/>
        </w:rPr>
        <w:t xml:space="preserve"> and the </w:t>
      </w:r>
      <w:r w:rsidR="001F0E89" w:rsidRPr="00172E83">
        <w:rPr>
          <w:rFonts w:ascii="Calibri" w:hAnsi="Calibri" w:cs="Calibri"/>
          <w:color w:val="000000" w:themeColor="text1"/>
          <w:sz w:val="22"/>
          <w:szCs w:val="22"/>
          <w:lang w:val="en-GB"/>
        </w:rPr>
        <w:t>need to refinance the huge external debt accumulated during the 1970s.</w:t>
      </w:r>
      <w:r w:rsidR="001F0E89" w:rsidRPr="00172E83">
        <w:rPr>
          <w:rFonts w:ascii="Calibri" w:hAnsi="Calibri" w:cs="Calibri"/>
          <w:color w:val="000000" w:themeColor="text1"/>
          <w:spacing w:val="-6"/>
          <w:sz w:val="22"/>
          <w:szCs w:val="22"/>
          <w:lang w:val="en-GB"/>
        </w:rPr>
        <w:t xml:space="preserve"> </w:t>
      </w:r>
      <w:r w:rsidR="00215A05" w:rsidRPr="00172E83">
        <w:rPr>
          <w:rFonts w:ascii="Calibri" w:hAnsi="Calibri" w:cs="Calibri"/>
          <w:color w:val="000000" w:themeColor="text1"/>
          <w:spacing w:val="-6"/>
          <w:sz w:val="22"/>
          <w:szCs w:val="22"/>
          <w:lang w:val="en-GB"/>
        </w:rPr>
        <w:t xml:space="preserve">Then, besides the still high inflation, </w:t>
      </w:r>
      <w:r w:rsidR="001F0E89" w:rsidRPr="00172E83">
        <w:rPr>
          <w:rFonts w:ascii="Calibri" w:hAnsi="Calibri" w:cs="Calibri"/>
          <w:color w:val="000000" w:themeColor="text1"/>
          <w:spacing w:val="-6"/>
          <w:sz w:val="22"/>
          <w:szCs w:val="22"/>
          <w:lang w:val="en-GB"/>
        </w:rPr>
        <w:t xml:space="preserve">the Brazilian economy </w:t>
      </w:r>
      <w:r w:rsidR="00215A05" w:rsidRPr="00172E83">
        <w:rPr>
          <w:rFonts w:ascii="Calibri" w:hAnsi="Calibri" w:cs="Calibri"/>
          <w:color w:val="000000" w:themeColor="text1"/>
          <w:spacing w:val="-6"/>
          <w:sz w:val="22"/>
          <w:szCs w:val="22"/>
          <w:lang w:val="en-GB"/>
        </w:rPr>
        <w:t>faced an</w:t>
      </w:r>
      <w:r w:rsidR="001F0E89" w:rsidRPr="00172E83">
        <w:rPr>
          <w:rFonts w:ascii="Calibri" w:hAnsi="Calibri" w:cs="Calibri"/>
          <w:color w:val="000000" w:themeColor="text1"/>
          <w:spacing w:val="-6"/>
          <w:sz w:val="22"/>
          <w:szCs w:val="22"/>
          <w:lang w:val="en-GB"/>
        </w:rPr>
        <w:t xml:space="preserve"> increasing external vulnerability</w:t>
      </w:r>
      <w:r w:rsidR="00215A05" w:rsidRPr="00172E83">
        <w:rPr>
          <w:rFonts w:ascii="Calibri" w:hAnsi="Calibri" w:cs="Calibri"/>
          <w:color w:val="000000" w:themeColor="text1"/>
          <w:spacing w:val="-6"/>
          <w:sz w:val="22"/>
          <w:szCs w:val="22"/>
          <w:lang w:val="en-GB"/>
        </w:rPr>
        <w:t xml:space="preserve"> as macroeconomic constrains</w:t>
      </w:r>
      <w:r w:rsidR="001F0E89" w:rsidRPr="00172E83">
        <w:rPr>
          <w:rFonts w:ascii="Calibri" w:hAnsi="Calibri" w:cs="Calibri"/>
          <w:color w:val="000000" w:themeColor="text1"/>
          <w:spacing w:val="-6"/>
          <w:sz w:val="22"/>
          <w:szCs w:val="22"/>
          <w:lang w:val="en-GB"/>
        </w:rPr>
        <w:t xml:space="preserve">, </w:t>
      </w:r>
      <w:r w:rsidR="00215A05" w:rsidRPr="00172E83">
        <w:rPr>
          <w:rFonts w:ascii="Calibri" w:hAnsi="Calibri" w:cs="Calibri"/>
          <w:color w:val="000000" w:themeColor="text1"/>
          <w:spacing w:val="-6"/>
          <w:sz w:val="22"/>
          <w:szCs w:val="22"/>
          <w:lang w:val="en-GB"/>
        </w:rPr>
        <w:t xml:space="preserve">becoming </w:t>
      </w:r>
      <w:r w:rsidR="001F0E89" w:rsidRPr="00172E83">
        <w:rPr>
          <w:rFonts w:ascii="Calibri" w:hAnsi="Calibri" w:cs="Calibri"/>
          <w:color w:val="000000" w:themeColor="text1"/>
          <w:spacing w:val="-6"/>
          <w:sz w:val="22"/>
          <w:szCs w:val="22"/>
          <w:lang w:val="en-GB"/>
        </w:rPr>
        <w:t xml:space="preserve">highly sensitive to shifts in the international financial market. </w:t>
      </w:r>
    </w:p>
    <w:p w14:paraId="6C49A0BA" w14:textId="77777777" w:rsidR="006D57BD" w:rsidRPr="00172E83" w:rsidRDefault="006D57BD" w:rsidP="006D57BD">
      <w:pPr>
        <w:pStyle w:val="Corpodetexto1"/>
        <w:spacing w:line="360" w:lineRule="auto"/>
        <w:jc w:val="both"/>
        <w:rPr>
          <w:rFonts w:ascii="Calibri" w:hAnsi="Calibri" w:cs="Calibri"/>
          <w:color w:val="000000" w:themeColor="text1"/>
          <w:sz w:val="22"/>
          <w:szCs w:val="22"/>
          <w:lang w:val="en-GB"/>
        </w:rPr>
      </w:pPr>
    </w:p>
    <w:p w14:paraId="5FA802C5" w14:textId="77777777" w:rsidR="006D57BD" w:rsidRPr="00172E83" w:rsidRDefault="00A0003B" w:rsidP="006D57BD">
      <w:pPr>
        <w:pStyle w:val="Textkrper"/>
        <w:spacing w:line="360" w:lineRule="auto"/>
        <w:jc w:val="center"/>
        <w:rPr>
          <w:rFonts w:ascii="Calibri" w:hAnsi="Calibri" w:cs="Calibri"/>
          <w:color w:val="000000" w:themeColor="text1"/>
          <w:lang w:val="en-GB"/>
        </w:rPr>
      </w:pPr>
      <w:r w:rsidRPr="00172E83">
        <w:rPr>
          <w:rFonts w:asciiTheme="minorHAnsi" w:hAnsiTheme="minorHAnsi" w:cs="Calibri"/>
          <w:b/>
          <w:color w:val="000000" w:themeColor="text1"/>
          <w:lang w:val="en-GB"/>
        </w:rPr>
        <w:t>Graph 3</w:t>
      </w:r>
      <w:r w:rsidR="006D57BD" w:rsidRPr="00172E83">
        <w:rPr>
          <w:rFonts w:asciiTheme="minorHAnsi" w:hAnsiTheme="minorHAnsi" w:cs="Calibri"/>
          <w:b/>
          <w:color w:val="000000" w:themeColor="text1"/>
          <w:lang w:val="en-GB"/>
        </w:rPr>
        <w:t>.  Interest rate differential and its components (%)</w:t>
      </w:r>
      <w:r w:rsidR="006D57BD" w:rsidRPr="00172E83">
        <w:rPr>
          <w:rFonts w:asciiTheme="minorHAnsi" w:hAnsiTheme="minorHAnsi" w:cs="Calibri"/>
          <w:noProof/>
          <w:color w:val="000000" w:themeColor="text1"/>
          <w:spacing w:val="-6"/>
          <w:lang w:val="de-DE" w:eastAsia="de-DE"/>
        </w:rPr>
        <w:drawing>
          <wp:inline distT="0" distB="0" distL="0" distR="0" wp14:anchorId="3186FAE1" wp14:editId="22535199">
            <wp:extent cx="4159250" cy="2787650"/>
            <wp:effectExtent l="19050" t="0" r="0" b="0"/>
            <wp:docPr id="12" name="Imagem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cstate="print"/>
                    <a:srcRect/>
                    <a:stretch>
                      <a:fillRect/>
                    </a:stretch>
                  </pic:blipFill>
                  <pic:spPr bwMode="auto">
                    <a:xfrm>
                      <a:off x="0" y="0"/>
                      <a:ext cx="4159250" cy="2787650"/>
                    </a:xfrm>
                    <a:prstGeom prst="rect">
                      <a:avLst/>
                    </a:prstGeom>
                    <a:noFill/>
                    <a:ln w="9525">
                      <a:noFill/>
                      <a:miter lim="800000"/>
                      <a:headEnd/>
                      <a:tailEnd/>
                    </a:ln>
                    <a:effectLst/>
                  </pic:spPr>
                </pic:pic>
              </a:graphicData>
            </a:graphic>
          </wp:inline>
        </w:drawing>
      </w:r>
    </w:p>
    <w:p w14:paraId="4B7F1B81" w14:textId="77777777" w:rsidR="00FA2FFC" w:rsidRPr="00172E83" w:rsidRDefault="00FA2FFC" w:rsidP="006A522B">
      <w:pPr>
        <w:pStyle w:val="Corpodetexto1"/>
        <w:tabs>
          <w:tab w:val="left" w:pos="4962"/>
          <w:tab w:val="left" w:pos="5387"/>
        </w:tabs>
        <w:spacing w:line="360" w:lineRule="auto"/>
        <w:jc w:val="both"/>
        <w:rPr>
          <w:color w:val="000000" w:themeColor="text1"/>
          <w:lang w:val="en-US"/>
        </w:rPr>
      </w:pPr>
    </w:p>
    <w:p w14:paraId="664EF8D4" w14:textId="77777777" w:rsidR="0079135E" w:rsidRPr="00172E83" w:rsidRDefault="00D757F7" w:rsidP="00215A05">
      <w:pPr>
        <w:pStyle w:val="Corpodetexto1"/>
        <w:tabs>
          <w:tab w:val="left" w:pos="4962"/>
          <w:tab w:val="left" w:pos="5387"/>
        </w:tabs>
        <w:spacing w:line="360" w:lineRule="auto"/>
        <w:jc w:val="both"/>
        <w:rPr>
          <w:rFonts w:ascii="Calibri" w:hAnsi="Calibri" w:cs="Calibri"/>
          <w:color w:val="000000" w:themeColor="text1"/>
          <w:spacing w:val="-6"/>
          <w:sz w:val="22"/>
          <w:szCs w:val="22"/>
          <w:lang w:val="en-GB"/>
        </w:rPr>
      </w:pPr>
      <w:r w:rsidRPr="00172E83">
        <w:rPr>
          <w:rFonts w:ascii="Calibri" w:hAnsi="Calibri" w:cs="Calibri"/>
          <w:color w:val="000000" w:themeColor="text1"/>
          <w:spacing w:val="-6"/>
          <w:sz w:val="22"/>
          <w:szCs w:val="22"/>
          <w:lang w:val="en-GB"/>
        </w:rPr>
        <w:t>As a result, the macroeconomic regime</w:t>
      </w:r>
      <w:r w:rsidR="00215A05" w:rsidRPr="00172E83">
        <w:rPr>
          <w:rFonts w:ascii="Calibri" w:hAnsi="Calibri" w:cs="Calibri"/>
          <w:color w:val="000000" w:themeColor="text1"/>
          <w:spacing w:val="-6"/>
          <w:sz w:val="22"/>
          <w:szCs w:val="22"/>
          <w:lang w:val="en-GB"/>
        </w:rPr>
        <w:t xml:space="preserve"> </w:t>
      </w:r>
      <w:r w:rsidRPr="00172E83">
        <w:rPr>
          <w:rFonts w:ascii="Calibri" w:hAnsi="Calibri" w:cs="Calibri"/>
          <w:color w:val="000000" w:themeColor="text1"/>
          <w:spacing w:val="-6"/>
          <w:sz w:val="22"/>
          <w:szCs w:val="22"/>
          <w:lang w:val="en-GB"/>
        </w:rPr>
        <w:t xml:space="preserve">had to be conducted primarily in order to ensure capital inflows in sufficient quantity, resulting in a sequence of stop-and-go periods. The definition of the internal interest rate level was highly correlated to the </w:t>
      </w:r>
      <w:r w:rsidR="00215A05" w:rsidRPr="00172E83">
        <w:rPr>
          <w:rFonts w:ascii="Calibri" w:hAnsi="Calibri" w:cs="Calibri"/>
          <w:color w:val="000000" w:themeColor="text1"/>
          <w:spacing w:val="-6"/>
          <w:sz w:val="22"/>
          <w:szCs w:val="22"/>
          <w:lang w:val="en-GB"/>
        </w:rPr>
        <w:t>quantity of capital inflows and FX</w:t>
      </w:r>
      <w:r w:rsidRPr="00172E83">
        <w:rPr>
          <w:rFonts w:ascii="Calibri" w:hAnsi="Calibri" w:cs="Calibri"/>
          <w:color w:val="000000" w:themeColor="text1"/>
          <w:spacing w:val="-6"/>
          <w:sz w:val="22"/>
          <w:szCs w:val="22"/>
          <w:lang w:val="en-GB"/>
        </w:rPr>
        <w:t xml:space="preserve"> reserves. Every time capital </w:t>
      </w:r>
      <w:r w:rsidR="0079135E" w:rsidRPr="00172E83">
        <w:rPr>
          <w:rFonts w:ascii="Calibri" w:hAnsi="Calibri" w:cs="Calibri"/>
          <w:color w:val="000000" w:themeColor="text1"/>
          <w:spacing w:val="-6"/>
          <w:sz w:val="22"/>
          <w:szCs w:val="22"/>
          <w:lang w:val="en-GB"/>
        </w:rPr>
        <w:t>inflows shr</w:t>
      </w:r>
      <w:r w:rsidR="00D077AC" w:rsidRPr="00172E83">
        <w:rPr>
          <w:rFonts w:ascii="Calibri" w:hAnsi="Calibri" w:cs="Calibri"/>
          <w:color w:val="000000" w:themeColor="text1"/>
          <w:spacing w:val="-6"/>
          <w:sz w:val="22"/>
          <w:szCs w:val="22"/>
          <w:lang w:val="en-GB"/>
        </w:rPr>
        <w:t>a</w:t>
      </w:r>
      <w:r w:rsidR="0079135E" w:rsidRPr="00172E83">
        <w:rPr>
          <w:rFonts w:ascii="Calibri" w:hAnsi="Calibri" w:cs="Calibri"/>
          <w:color w:val="000000" w:themeColor="text1"/>
          <w:spacing w:val="-6"/>
          <w:sz w:val="22"/>
          <w:szCs w:val="22"/>
          <w:lang w:val="en-GB"/>
        </w:rPr>
        <w:t>nk or even reversed</w:t>
      </w:r>
      <w:r w:rsidR="00D077AC" w:rsidRPr="00172E83">
        <w:rPr>
          <w:rFonts w:ascii="Calibri" w:hAnsi="Calibri" w:cs="Calibri"/>
          <w:color w:val="000000" w:themeColor="text1"/>
          <w:spacing w:val="-6"/>
          <w:sz w:val="22"/>
          <w:szCs w:val="22"/>
          <w:lang w:val="en-GB"/>
        </w:rPr>
        <w:t xml:space="preserve"> </w:t>
      </w:r>
      <w:r w:rsidRPr="00172E83">
        <w:rPr>
          <w:rFonts w:ascii="Calibri" w:hAnsi="Calibri" w:cs="Calibri"/>
          <w:color w:val="000000" w:themeColor="text1"/>
          <w:spacing w:val="-6"/>
          <w:sz w:val="22"/>
          <w:szCs w:val="22"/>
          <w:lang w:val="en-GB"/>
        </w:rPr>
        <w:t xml:space="preserve">due to external shocks, the domestic interest rate had to be </w:t>
      </w:r>
      <w:r w:rsidR="00D077AC" w:rsidRPr="00172E83">
        <w:rPr>
          <w:rFonts w:ascii="Calibri" w:hAnsi="Calibri" w:cs="Calibri"/>
          <w:color w:val="000000" w:themeColor="text1"/>
          <w:spacing w:val="-6"/>
          <w:sz w:val="22"/>
          <w:szCs w:val="22"/>
          <w:lang w:val="en-GB"/>
        </w:rPr>
        <w:t xml:space="preserve">hiked </w:t>
      </w:r>
      <w:r w:rsidRPr="00172E83">
        <w:rPr>
          <w:rFonts w:ascii="Calibri" w:hAnsi="Calibri" w:cs="Calibri"/>
          <w:color w:val="000000" w:themeColor="text1"/>
          <w:spacing w:val="-6"/>
          <w:sz w:val="22"/>
          <w:szCs w:val="22"/>
          <w:lang w:val="en-GB"/>
        </w:rPr>
        <w:t xml:space="preserve">in order to both reduce the volume of imports and encourage additional capital </w:t>
      </w:r>
      <w:r w:rsidR="00165BF2" w:rsidRPr="00172E83">
        <w:rPr>
          <w:rFonts w:ascii="Calibri" w:hAnsi="Calibri" w:cs="Calibri"/>
          <w:color w:val="000000" w:themeColor="text1"/>
          <w:spacing w:val="-6"/>
          <w:sz w:val="22"/>
          <w:szCs w:val="22"/>
          <w:lang w:val="en-GB"/>
        </w:rPr>
        <w:t>inflows</w:t>
      </w:r>
      <w:r w:rsidR="00A0003B" w:rsidRPr="00172E83">
        <w:rPr>
          <w:rFonts w:ascii="Calibri" w:hAnsi="Calibri" w:cs="Calibri"/>
          <w:color w:val="000000" w:themeColor="text1"/>
          <w:spacing w:val="-6"/>
          <w:sz w:val="22"/>
          <w:szCs w:val="22"/>
          <w:lang w:val="en-GB"/>
        </w:rPr>
        <w:t xml:space="preserve"> (see graph 4</w:t>
      </w:r>
      <w:r w:rsidRPr="00172E83">
        <w:rPr>
          <w:rFonts w:ascii="Calibri" w:hAnsi="Calibri" w:cs="Calibri"/>
          <w:color w:val="000000" w:themeColor="text1"/>
          <w:spacing w:val="-6"/>
          <w:sz w:val="22"/>
          <w:szCs w:val="22"/>
          <w:lang w:val="en-GB"/>
        </w:rPr>
        <w:t xml:space="preserve">). This led to a </w:t>
      </w:r>
      <w:r w:rsidR="0079135E" w:rsidRPr="00172E83">
        <w:rPr>
          <w:rFonts w:ascii="Calibri" w:hAnsi="Calibri" w:cs="Calibri"/>
          <w:color w:val="000000" w:themeColor="text1"/>
          <w:spacing w:val="-6"/>
          <w:sz w:val="22"/>
          <w:szCs w:val="22"/>
          <w:lang w:val="en-GB"/>
        </w:rPr>
        <w:t>stop-go process</w:t>
      </w:r>
      <w:r w:rsidR="00D077AC" w:rsidRPr="00172E83">
        <w:rPr>
          <w:rFonts w:ascii="Calibri" w:hAnsi="Calibri" w:cs="Calibri"/>
          <w:color w:val="000000" w:themeColor="text1"/>
          <w:spacing w:val="-6"/>
          <w:sz w:val="22"/>
          <w:szCs w:val="22"/>
          <w:lang w:val="en-GB"/>
        </w:rPr>
        <w:t>,</w:t>
      </w:r>
      <w:r w:rsidR="0079135E" w:rsidRPr="00172E83">
        <w:rPr>
          <w:rFonts w:ascii="Calibri" w:hAnsi="Calibri" w:cs="Calibri"/>
          <w:color w:val="000000" w:themeColor="text1"/>
          <w:spacing w:val="-6"/>
          <w:sz w:val="22"/>
          <w:szCs w:val="22"/>
          <w:lang w:val="en-GB"/>
        </w:rPr>
        <w:t xml:space="preserve"> </w:t>
      </w:r>
      <w:r w:rsidRPr="00172E83">
        <w:rPr>
          <w:rFonts w:ascii="Calibri" w:hAnsi="Calibri" w:cs="Calibri"/>
          <w:color w:val="000000" w:themeColor="text1"/>
          <w:spacing w:val="-6"/>
          <w:sz w:val="22"/>
          <w:szCs w:val="22"/>
          <w:lang w:val="en-GB"/>
        </w:rPr>
        <w:t>due to the repeated necessity of repressing internal demand in order to control external account</w:t>
      </w:r>
      <w:r w:rsidR="00D077AC" w:rsidRPr="00172E83">
        <w:rPr>
          <w:rFonts w:ascii="Calibri" w:hAnsi="Calibri" w:cs="Calibri"/>
          <w:color w:val="000000" w:themeColor="text1"/>
          <w:spacing w:val="-6"/>
          <w:sz w:val="22"/>
          <w:szCs w:val="22"/>
          <w:lang w:val="en-GB"/>
        </w:rPr>
        <w:t>s</w:t>
      </w:r>
      <w:r w:rsidRPr="00172E83">
        <w:rPr>
          <w:rFonts w:ascii="Calibri" w:hAnsi="Calibri" w:cs="Calibri"/>
          <w:color w:val="000000" w:themeColor="text1"/>
          <w:spacing w:val="-6"/>
          <w:sz w:val="22"/>
          <w:szCs w:val="22"/>
          <w:lang w:val="en-GB"/>
        </w:rPr>
        <w:t xml:space="preserve">. </w:t>
      </w:r>
    </w:p>
    <w:p w14:paraId="7EACDC77" w14:textId="04C4EA2A" w:rsidR="00D757F7" w:rsidRPr="00172E83" w:rsidRDefault="00A0003B" w:rsidP="00D757F7">
      <w:pPr>
        <w:pStyle w:val="Textkrper"/>
        <w:numPr>
          <w:ilvl w:val="0"/>
          <w:numId w:val="2"/>
        </w:numPr>
        <w:spacing w:after="0" w:line="360" w:lineRule="auto"/>
        <w:jc w:val="both"/>
        <w:rPr>
          <w:rFonts w:asciiTheme="minorHAnsi" w:hAnsiTheme="minorHAnsi" w:cs="Calibri"/>
          <w:color w:val="000000" w:themeColor="text1"/>
          <w:lang w:val="en-GB"/>
        </w:rPr>
      </w:pPr>
      <w:r w:rsidRPr="00172E83">
        <w:rPr>
          <w:rFonts w:asciiTheme="minorHAnsi" w:hAnsiTheme="minorHAnsi" w:cs="Calibri"/>
          <w:b/>
          <w:color w:val="000000" w:themeColor="text1"/>
          <w:lang w:val="en-GB"/>
        </w:rPr>
        <w:t>Graph 4</w:t>
      </w:r>
      <w:r w:rsidR="00614E83" w:rsidRPr="00172E83">
        <w:rPr>
          <w:rFonts w:asciiTheme="minorHAnsi" w:hAnsiTheme="minorHAnsi" w:cs="Calibri"/>
          <w:b/>
          <w:color w:val="000000" w:themeColor="text1"/>
          <w:lang w:val="en-GB"/>
        </w:rPr>
        <w:t>.</w:t>
      </w:r>
      <w:r w:rsidR="00D757F7" w:rsidRPr="00172E83">
        <w:rPr>
          <w:rFonts w:asciiTheme="minorHAnsi" w:hAnsiTheme="minorHAnsi" w:cs="Calibri"/>
          <w:b/>
          <w:color w:val="000000" w:themeColor="text1"/>
          <w:lang w:val="en-GB"/>
        </w:rPr>
        <w:t xml:space="preserve"> Brazil: Domestic Interest Rate and Foreign Exchange Reserves (1994-99)</w:t>
      </w:r>
      <w:r w:rsidR="00D757F7" w:rsidRPr="00172E83">
        <w:rPr>
          <w:rFonts w:asciiTheme="minorHAnsi" w:hAnsiTheme="minorHAnsi"/>
          <w:noProof/>
          <w:color w:val="000000" w:themeColor="text1"/>
          <w:lang w:val="de-DE" w:eastAsia="de-DE"/>
        </w:rPr>
        <w:drawing>
          <wp:inline distT="0" distB="0" distL="0" distR="0" wp14:anchorId="716E1579" wp14:editId="273ABA52">
            <wp:extent cx="5542277" cy="3018408"/>
            <wp:effectExtent l="0" t="0" r="7623" b="6097"/>
            <wp:docPr id="13" name="Image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92C04F" w14:textId="77777777" w:rsidR="00D757F7" w:rsidRPr="00172E83" w:rsidRDefault="00D757F7" w:rsidP="00D757F7">
      <w:pPr>
        <w:pStyle w:val="Textkrper"/>
        <w:numPr>
          <w:ilvl w:val="0"/>
          <w:numId w:val="2"/>
        </w:numPr>
        <w:spacing w:line="360" w:lineRule="auto"/>
        <w:jc w:val="both"/>
        <w:rPr>
          <w:rFonts w:asciiTheme="minorHAnsi" w:hAnsiTheme="minorHAnsi" w:cs="Calibri"/>
          <w:color w:val="000000" w:themeColor="text1"/>
          <w:spacing w:val="-6"/>
          <w:lang w:val="pt-BR"/>
        </w:rPr>
      </w:pPr>
      <w:r w:rsidRPr="00172E83">
        <w:rPr>
          <w:rFonts w:asciiTheme="minorHAnsi" w:hAnsiTheme="minorHAnsi" w:cs="Calibri"/>
          <w:color w:val="000000" w:themeColor="text1"/>
          <w:lang w:val="pt-BR"/>
        </w:rPr>
        <w:t>Source: Boletim do Banco Central do Brasil.</w:t>
      </w:r>
    </w:p>
    <w:p w14:paraId="40E872F0" w14:textId="77777777" w:rsidR="00D757F7" w:rsidRPr="00172E83" w:rsidRDefault="00D757F7" w:rsidP="00EF54C6">
      <w:pPr>
        <w:rPr>
          <w:color w:val="000000" w:themeColor="text1"/>
        </w:rPr>
      </w:pPr>
    </w:p>
    <w:p w14:paraId="308E2BAB" w14:textId="77777777" w:rsidR="00E01B69" w:rsidRPr="00172E83" w:rsidRDefault="005C24D2" w:rsidP="00E01B69">
      <w:pPr>
        <w:pStyle w:val="Corpodetexto1"/>
        <w:spacing w:line="360" w:lineRule="auto"/>
        <w:jc w:val="both"/>
        <w:rPr>
          <w:rFonts w:asciiTheme="majorHAnsi" w:hAnsiTheme="majorHAnsi"/>
          <w:color w:val="000000" w:themeColor="text1"/>
          <w:lang w:val="en-US" w:eastAsia="ko-KR"/>
        </w:rPr>
      </w:pPr>
      <w:r w:rsidRPr="00172E83">
        <w:rPr>
          <w:rFonts w:ascii="Calibri" w:hAnsi="Calibri"/>
          <w:color w:val="000000" w:themeColor="text1"/>
          <w:sz w:val="22"/>
          <w:szCs w:val="22"/>
          <w:lang w:val="en-GB"/>
        </w:rPr>
        <w:t>D</w:t>
      </w:r>
      <w:r w:rsidR="00D757F7" w:rsidRPr="00172E83">
        <w:rPr>
          <w:rFonts w:ascii="Calibri" w:hAnsi="Calibri"/>
          <w:color w:val="000000" w:themeColor="text1"/>
          <w:sz w:val="22"/>
          <w:szCs w:val="22"/>
          <w:lang w:val="en-GB"/>
        </w:rPr>
        <w:t xml:space="preserve">uring the boom phases of the </w:t>
      </w:r>
      <w:r w:rsidR="00D757F7" w:rsidRPr="00172E83">
        <w:rPr>
          <w:rFonts w:ascii="Calibri" w:hAnsi="Calibri" w:cs="Calibri"/>
          <w:color w:val="000000" w:themeColor="text1"/>
          <w:sz w:val="22"/>
          <w:szCs w:val="22"/>
          <w:lang w:val="en-GB"/>
        </w:rPr>
        <w:t>international capital flow cycle</w:t>
      </w:r>
      <w:r w:rsidR="00D757F7" w:rsidRPr="00172E83">
        <w:rPr>
          <w:rFonts w:ascii="Calibri" w:hAnsi="Calibri"/>
          <w:color w:val="000000" w:themeColor="text1"/>
          <w:sz w:val="22"/>
          <w:szCs w:val="22"/>
          <w:lang w:val="en-GB"/>
        </w:rPr>
        <w:t xml:space="preserve">, the high interest rate </w:t>
      </w:r>
      <w:r w:rsidR="00945A05" w:rsidRPr="00172E83">
        <w:rPr>
          <w:rFonts w:ascii="Calibri" w:hAnsi="Calibri"/>
          <w:color w:val="000000" w:themeColor="text1"/>
          <w:sz w:val="22"/>
          <w:szCs w:val="22"/>
          <w:lang w:val="en-GB"/>
        </w:rPr>
        <w:t xml:space="preserve">differential offered by Brazil </w:t>
      </w:r>
      <w:r w:rsidR="00D757F7" w:rsidRPr="00172E83">
        <w:rPr>
          <w:rFonts w:ascii="Calibri" w:hAnsi="Calibri"/>
          <w:color w:val="000000" w:themeColor="text1"/>
          <w:sz w:val="22"/>
          <w:szCs w:val="22"/>
          <w:lang w:val="en-GB"/>
        </w:rPr>
        <w:t>resulted in excessive short</w:t>
      </w:r>
      <w:r w:rsidR="003F0F4B" w:rsidRPr="00172E83">
        <w:rPr>
          <w:rFonts w:ascii="Calibri" w:hAnsi="Calibri"/>
          <w:color w:val="000000" w:themeColor="text1"/>
          <w:sz w:val="22"/>
          <w:szCs w:val="22"/>
          <w:lang w:val="en-GB"/>
        </w:rPr>
        <w:t>-</w:t>
      </w:r>
      <w:r w:rsidR="00D757F7" w:rsidRPr="00172E83">
        <w:rPr>
          <w:rFonts w:ascii="Calibri" w:hAnsi="Calibri"/>
          <w:color w:val="000000" w:themeColor="text1"/>
          <w:sz w:val="22"/>
          <w:szCs w:val="22"/>
          <w:lang w:val="en-GB"/>
        </w:rPr>
        <w:t>term financial inflows</w:t>
      </w:r>
      <w:r w:rsidR="00945A05" w:rsidRPr="00172E83">
        <w:rPr>
          <w:rFonts w:ascii="Calibri" w:hAnsi="Calibri"/>
          <w:color w:val="000000" w:themeColor="text1"/>
          <w:sz w:val="22"/>
          <w:szCs w:val="22"/>
          <w:lang w:val="en-GB"/>
        </w:rPr>
        <w:t xml:space="preserve">, </w:t>
      </w:r>
      <w:r w:rsidR="00D757F7" w:rsidRPr="00172E83">
        <w:rPr>
          <w:rFonts w:ascii="Calibri" w:hAnsi="Calibri"/>
          <w:color w:val="000000" w:themeColor="text1"/>
          <w:sz w:val="22"/>
          <w:szCs w:val="22"/>
          <w:lang w:val="en-GB"/>
        </w:rPr>
        <w:t>above the current account deficit</w:t>
      </w:r>
      <w:r w:rsidR="00945A05" w:rsidRPr="00172E83">
        <w:rPr>
          <w:rFonts w:ascii="Calibri" w:hAnsi="Calibri"/>
          <w:color w:val="000000" w:themeColor="text1"/>
          <w:sz w:val="22"/>
          <w:szCs w:val="22"/>
          <w:lang w:val="en-GB"/>
        </w:rPr>
        <w:t xml:space="preserve">. </w:t>
      </w:r>
      <w:r w:rsidR="0007056A" w:rsidRPr="00172E83">
        <w:rPr>
          <w:rFonts w:ascii="Calibri" w:hAnsi="Calibri"/>
          <w:color w:val="000000" w:themeColor="text1"/>
          <w:sz w:val="22"/>
          <w:szCs w:val="22"/>
          <w:lang w:val="en-GB"/>
        </w:rPr>
        <w:t>In these phases</w:t>
      </w:r>
      <w:r w:rsidR="00D757F7" w:rsidRPr="00172E83">
        <w:rPr>
          <w:rFonts w:ascii="Calibri" w:hAnsi="Calibri"/>
          <w:color w:val="000000" w:themeColor="text1"/>
          <w:sz w:val="22"/>
          <w:szCs w:val="22"/>
          <w:lang w:val="en-GB"/>
        </w:rPr>
        <w:t xml:space="preserve">, the central bank needed to pursue direct interventions </w:t>
      </w:r>
      <w:r w:rsidR="00D411F6" w:rsidRPr="00172E83">
        <w:rPr>
          <w:rFonts w:ascii="Calibri" w:hAnsi="Calibri"/>
          <w:color w:val="000000" w:themeColor="text1"/>
          <w:sz w:val="22"/>
          <w:szCs w:val="22"/>
          <w:lang w:val="en-GB"/>
        </w:rPr>
        <w:t xml:space="preserve">both </w:t>
      </w:r>
      <w:r w:rsidR="007B69DB" w:rsidRPr="00172E83">
        <w:rPr>
          <w:rFonts w:ascii="Calibri" w:hAnsi="Calibri"/>
          <w:color w:val="000000" w:themeColor="text1"/>
          <w:sz w:val="22"/>
          <w:szCs w:val="22"/>
          <w:lang w:val="en-GB"/>
        </w:rPr>
        <w:t xml:space="preserve">in </w:t>
      </w:r>
      <w:r w:rsidR="00D757F7" w:rsidRPr="00172E83">
        <w:rPr>
          <w:rFonts w:ascii="Calibri" w:hAnsi="Calibri"/>
          <w:color w:val="000000" w:themeColor="text1"/>
          <w:sz w:val="22"/>
          <w:szCs w:val="22"/>
          <w:lang w:val="en-GB"/>
        </w:rPr>
        <w:t xml:space="preserve">the exchange market to control the </w:t>
      </w:r>
      <w:r w:rsidR="007B69DB" w:rsidRPr="00172E83">
        <w:rPr>
          <w:rFonts w:ascii="Calibri" w:hAnsi="Calibri"/>
          <w:color w:val="000000" w:themeColor="text1"/>
          <w:sz w:val="22"/>
          <w:szCs w:val="22"/>
          <w:lang w:val="en-GB"/>
        </w:rPr>
        <w:t xml:space="preserve">nominal </w:t>
      </w:r>
      <w:r w:rsidR="00D757F7" w:rsidRPr="00172E83">
        <w:rPr>
          <w:rFonts w:ascii="Calibri" w:hAnsi="Calibri"/>
          <w:color w:val="000000" w:themeColor="text1"/>
          <w:sz w:val="22"/>
          <w:szCs w:val="22"/>
          <w:lang w:val="en-GB"/>
        </w:rPr>
        <w:t xml:space="preserve">exchange rate level </w:t>
      </w:r>
      <w:r w:rsidR="00D411F6" w:rsidRPr="00172E83">
        <w:rPr>
          <w:rFonts w:ascii="Calibri" w:hAnsi="Calibri"/>
          <w:color w:val="000000" w:themeColor="text1"/>
          <w:sz w:val="22"/>
          <w:szCs w:val="22"/>
          <w:lang w:val="en-GB"/>
        </w:rPr>
        <w:t xml:space="preserve">and in the monetary market through sterilisation operations </w:t>
      </w:r>
      <w:r w:rsidR="00D757F7" w:rsidRPr="00172E83">
        <w:rPr>
          <w:rFonts w:ascii="Calibri" w:hAnsi="Calibri"/>
          <w:color w:val="000000" w:themeColor="text1"/>
          <w:sz w:val="22"/>
          <w:szCs w:val="22"/>
          <w:lang w:val="en-GB"/>
        </w:rPr>
        <w:t xml:space="preserve">to </w:t>
      </w:r>
      <w:r w:rsidR="00C152BD" w:rsidRPr="00172E83">
        <w:rPr>
          <w:rFonts w:ascii="Calibri" w:hAnsi="Calibri"/>
          <w:color w:val="000000" w:themeColor="text1"/>
          <w:sz w:val="22"/>
          <w:szCs w:val="22"/>
          <w:lang w:val="en-GB"/>
        </w:rPr>
        <w:t xml:space="preserve">maintain </w:t>
      </w:r>
      <w:r w:rsidR="00D757F7" w:rsidRPr="00172E83">
        <w:rPr>
          <w:rFonts w:ascii="Calibri" w:hAnsi="Calibri"/>
          <w:color w:val="000000" w:themeColor="text1"/>
          <w:sz w:val="22"/>
          <w:szCs w:val="22"/>
          <w:lang w:val="en-GB"/>
        </w:rPr>
        <w:t>a restrictive monetary policy, overburden</w:t>
      </w:r>
      <w:r w:rsidR="00D411F6" w:rsidRPr="00172E83">
        <w:rPr>
          <w:rFonts w:ascii="Calibri" w:hAnsi="Calibri"/>
          <w:color w:val="000000" w:themeColor="text1"/>
          <w:sz w:val="22"/>
          <w:szCs w:val="22"/>
          <w:lang w:val="en-GB"/>
        </w:rPr>
        <w:t xml:space="preserve">ing </w:t>
      </w:r>
      <w:r w:rsidR="00D757F7" w:rsidRPr="00172E83">
        <w:rPr>
          <w:rFonts w:ascii="Calibri" w:hAnsi="Calibri"/>
          <w:color w:val="000000" w:themeColor="text1"/>
          <w:sz w:val="22"/>
          <w:szCs w:val="22"/>
          <w:lang w:val="en-GB"/>
        </w:rPr>
        <w:t xml:space="preserve">the fiscal costs of capital inflows.  </w:t>
      </w:r>
      <w:r w:rsidR="00E01B69" w:rsidRPr="00172E83">
        <w:rPr>
          <w:rFonts w:ascii="Calibri" w:hAnsi="Calibri"/>
          <w:color w:val="000000" w:themeColor="text1"/>
          <w:sz w:val="22"/>
          <w:szCs w:val="22"/>
          <w:lang w:val="en-GB"/>
        </w:rPr>
        <w:t>As Kregel (2000</w:t>
      </w:r>
      <w:r w:rsidR="006F4AD8" w:rsidRPr="00172E83">
        <w:rPr>
          <w:rFonts w:ascii="Calibri" w:hAnsi="Calibri"/>
          <w:color w:val="000000" w:themeColor="text1"/>
          <w:sz w:val="22"/>
          <w:szCs w:val="22"/>
          <w:lang w:val="en-GB"/>
        </w:rPr>
        <w:t xml:space="preserve">: </w:t>
      </w:r>
      <w:r w:rsidR="00E01B69" w:rsidRPr="00172E83">
        <w:rPr>
          <w:rFonts w:ascii="Calibri" w:hAnsi="Calibri"/>
          <w:color w:val="000000" w:themeColor="text1"/>
          <w:sz w:val="22"/>
          <w:szCs w:val="22"/>
          <w:lang w:val="en-GB"/>
        </w:rPr>
        <w:t>5) summarized</w:t>
      </w:r>
      <w:r w:rsidR="00E01B69" w:rsidRPr="00172E83">
        <w:rPr>
          <w:rFonts w:asciiTheme="majorHAnsi" w:hAnsiTheme="majorHAnsi"/>
          <w:color w:val="000000" w:themeColor="text1"/>
          <w:lang w:val="en-US" w:eastAsia="ko-KR"/>
        </w:rPr>
        <w:t xml:space="preserve">: </w:t>
      </w:r>
    </w:p>
    <w:p w14:paraId="592E07BA" w14:textId="77777777" w:rsidR="00E01B69" w:rsidRPr="00172E83" w:rsidRDefault="00E01B69" w:rsidP="00E01B69">
      <w:pPr>
        <w:pStyle w:val="Padro"/>
        <w:spacing w:after="120"/>
        <w:ind w:left="708"/>
        <w:jc w:val="both"/>
        <w:rPr>
          <w:rFonts w:ascii="Calibri" w:hAnsi="Calibri"/>
          <w:color w:val="000000" w:themeColor="text1"/>
          <w:sz w:val="22"/>
          <w:szCs w:val="22"/>
          <w:lang w:val="en-GB"/>
        </w:rPr>
      </w:pPr>
      <w:r w:rsidRPr="00172E83">
        <w:rPr>
          <w:rFonts w:ascii="Calibri" w:hAnsi="Calibri"/>
          <w:color w:val="000000" w:themeColor="text1"/>
          <w:sz w:val="22"/>
          <w:szCs w:val="22"/>
          <w:lang w:val="en-GB"/>
        </w:rPr>
        <w:t>“(…) the success of the Real Plan was on capital inflows buttressing the nominal exchange rate anchor in the face of rising current account imbalances. The success of the Plan thus made necessary domestic interest rates that were sufficiently high to produce a sufficiently large international interest rate differential to sustain capital inflows (...)</w:t>
      </w:r>
      <w:r w:rsidR="00D17C0C" w:rsidRPr="00172E83">
        <w:rPr>
          <w:rFonts w:ascii="Calibri" w:hAnsi="Calibri"/>
          <w:color w:val="000000" w:themeColor="text1"/>
          <w:sz w:val="22"/>
          <w:szCs w:val="22"/>
          <w:lang w:val="en-GB"/>
        </w:rPr>
        <w:t xml:space="preserve"> </w:t>
      </w:r>
      <w:r w:rsidRPr="00172E83">
        <w:rPr>
          <w:rFonts w:ascii="Calibri" w:hAnsi="Calibri"/>
          <w:color w:val="000000" w:themeColor="text1"/>
          <w:sz w:val="22"/>
          <w:szCs w:val="22"/>
          <w:lang w:val="en-GB"/>
        </w:rPr>
        <w:t>The capital inflows in excess of what was required to finance the current account imbalance was countered by sterilisation of the inflows at negative carry that also increased the government deficit and thus outstanding debt.”</w:t>
      </w:r>
    </w:p>
    <w:p w14:paraId="55EB44C8" w14:textId="77777777" w:rsidR="00D411F6" w:rsidRPr="00172E83" w:rsidRDefault="00D757F7" w:rsidP="00D411F6">
      <w:pPr>
        <w:pStyle w:val="Padro"/>
        <w:spacing w:after="120" w:line="360" w:lineRule="auto"/>
        <w:jc w:val="both"/>
        <w:rPr>
          <w:color w:val="000000" w:themeColor="text1"/>
          <w:lang w:val="en-US"/>
        </w:rPr>
      </w:pPr>
      <w:r w:rsidRPr="00172E83">
        <w:rPr>
          <w:rFonts w:ascii="Calibri" w:hAnsi="Calibri"/>
          <w:color w:val="000000" w:themeColor="text1"/>
          <w:sz w:val="22"/>
          <w:szCs w:val="22"/>
          <w:lang w:val="en-GB"/>
        </w:rPr>
        <w:t xml:space="preserve">In </w:t>
      </w:r>
      <w:r w:rsidR="0007056A" w:rsidRPr="00172E83">
        <w:rPr>
          <w:rFonts w:ascii="Calibri" w:hAnsi="Calibri"/>
          <w:color w:val="000000" w:themeColor="text1"/>
          <w:sz w:val="22"/>
          <w:szCs w:val="22"/>
          <w:lang w:val="en-GB"/>
        </w:rPr>
        <w:t xml:space="preserve">face of the </w:t>
      </w:r>
      <w:r w:rsidR="00D411F6" w:rsidRPr="00172E83">
        <w:rPr>
          <w:rFonts w:ascii="Calibri" w:hAnsi="Calibri"/>
          <w:color w:val="000000" w:themeColor="text1"/>
          <w:sz w:val="22"/>
          <w:szCs w:val="22"/>
          <w:lang w:val="en-GB"/>
        </w:rPr>
        <w:t xml:space="preserve">increasing fiscal costs of </w:t>
      </w:r>
      <w:r w:rsidR="00A0003B" w:rsidRPr="00172E83">
        <w:rPr>
          <w:rFonts w:ascii="Calibri" w:hAnsi="Calibri"/>
          <w:color w:val="000000" w:themeColor="text1"/>
          <w:sz w:val="22"/>
          <w:szCs w:val="22"/>
          <w:lang w:val="en-GB"/>
        </w:rPr>
        <w:t>sterilisation operations</w:t>
      </w:r>
      <w:r w:rsidR="00D411F6" w:rsidRPr="00172E83">
        <w:rPr>
          <w:rFonts w:ascii="Calibri" w:hAnsi="Calibri"/>
          <w:color w:val="000000" w:themeColor="text1"/>
          <w:sz w:val="22"/>
          <w:szCs w:val="22"/>
          <w:lang w:val="en-GB"/>
        </w:rPr>
        <w:t xml:space="preserve"> through emission of public bonds</w:t>
      </w:r>
      <w:r w:rsidR="00A0003B" w:rsidRPr="00172E83">
        <w:rPr>
          <w:rFonts w:ascii="Calibri" w:hAnsi="Calibri"/>
          <w:color w:val="000000" w:themeColor="text1"/>
          <w:sz w:val="22"/>
          <w:szCs w:val="22"/>
          <w:lang w:val="en-GB"/>
        </w:rPr>
        <w:t xml:space="preserve">, </w:t>
      </w:r>
      <w:r w:rsidRPr="00172E83">
        <w:rPr>
          <w:rFonts w:ascii="Calibri" w:hAnsi="Calibri"/>
          <w:color w:val="000000" w:themeColor="text1"/>
          <w:sz w:val="22"/>
          <w:szCs w:val="22"/>
          <w:lang w:val="en-GB"/>
        </w:rPr>
        <w:t>the Brazilian government chose to adopt capital controls</w:t>
      </w:r>
      <w:r w:rsidR="00D411F6" w:rsidRPr="00172E83">
        <w:rPr>
          <w:rFonts w:ascii="Calibri" w:hAnsi="Calibri"/>
          <w:color w:val="000000" w:themeColor="text1"/>
          <w:sz w:val="22"/>
          <w:szCs w:val="22"/>
          <w:lang w:val="en-GB"/>
        </w:rPr>
        <w:t xml:space="preserve"> </w:t>
      </w:r>
      <w:r w:rsidR="00D411F6" w:rsidRPr="00172E83">
        <w:rPr>
          <w:rFonts w:ascii="Calibri" w:hAnsi="Calibri" w:cs="Calibri"/>
          <w:color w:val="000000" w:themeColor="text1"/>
          <w:sz w:val="22"/>
          <w:szCs w:val="22"/>
          <w:lang w:val="en-GB"/>
        </w:rPr>
        <w:t xml:space="preserve">mainly to lengthen the maturity of </w:t>
      </w:r>
      <w:r w:rsidR="00AD5EFB" w:rsidRPr="00172E83">
        <w:rPr>
          <w:rFonts w:ascii="Calibri" w:hAnsi="Calibri" w:cs="Calibri"/>
          <w:color w:val="000000" w:themeColor="text1"/>
          <w:sz w:val="22"/>
          <w:szCs w:val="22"/>
          <w:lang w:val="en-GB"/>
        </w:rPr>
        <w:t xml:space="preserve">foreign portfolio investment </w:t>
      </w:r>
      <w:r w:rsidR="00D411F6" w:rsidRPr="00172E83">
        <w:rPr>
          <w:rFonts w:ascii="Calibri" w:hAnsi="Calibri" w:cs="Calibri"/>
          <w:color w:val="000000" w:themeColor="text1"/>
          <w:sz w:val="22"/>
          <w:szCs w:val="22"/>
          <w:lang w:val="en-GB"/>
        </w:rPr>
        <w:t>in face of the increasing external vulnerability. A secondary aim was to reduce their volume in moments of excessive</w:t>
      </w:r>
      <w:r w:rsidR="00AD5EFB" w:rsidRPr="00172E83">
        <w:rPr>
          <w:rFonts w:ascii="Calibri" w:hAnsi="Calibri" w:cs="Calibri"/>
          <w:color w:val="000000" w:themeColor="text1"/>
          <w:sz w:val="22"/>
          <w:szCs w:val="22"/>
          <w:lang w:val="en-GB"/>
        </w:rPr>
        <w:t xml:space="preserve"> inflows</w:t>
      </w:r>
      <w:r w:rsidR="00D411F6" w:rsidRPr="00172E83">
        <w:rPr>
          <w:rFonts w:ascii="Calibri" w:hAnsi="Calibri" w:cs="Calibri"/>
          <w:color w:val="000000" w:themeColor="text1"/>
          <w:sz w:val="22"/>
          <w:szCs w:val="22"/>
          <w:lang w:val="en-GB"/>
        </w:rPr>
        <w:t>.</w:t>
      </w:r>
    </w:p>
    <w:p w14:paraId="3DBAA12C" w14:textId="0934BFB1" w:rsidR="00DB649F" w:rsidRPr="00172E83" w:rsidRDefault="00AD5EFB" w:rsidP="00A0003B">
      <w:pPr>
        <w:pStyle w:val="Padro"/>
        <w:spacing w:after="120" w:line="360" w:lineRule="auto"/>
        <w:jc w:val="both"/>
        <w:rPr>
          <w:rFonts w:ascii="Calibri" w:hAnsi="Calibri" w:cs="Calibri"/>
          <w:color w:val="000000" w:themeColor="text1"/>
          <w:sz w:val="22"/>
          <w:szCs w:val="22"/>
          <w:lang w:val="en-GB"/>
        </w:rPr>
      </w:pPr>
      <w:r w:rsidRPr="00172E83">
        <w:rPr>
          <w:rFonts w:ascii="Calibri" w:hAnsi="Calibri"/>
          <w:color w:val="000000" w:themeColor="text1"/>
          <w:sz w:val="22"/>
          <w:szCs w:val="22"/>
          <w:lang w:val="en-GB"/>
        </w:rPr>
        <w:t>T</w:t>
      </w:r>
      <w:r w:rsidR="00D757F7" w:rsidRPr="00172E83">
        <w:rPr>
          <w:rFonts w:ascii="Calibri" w:hAnsi="Calibri"/>
          <w:color w:val="000000" w:themeColor="text1"/>
          <w:sz w:val="22"/>
          <w:szCs w:val="22"/>
          <w:lang w:val="en-GB"/>
        </w:rPr>
        <w:t>hus</w:t>
      </w:r>
      <w:r w:rsidRPr="00172E83">
        <w:rPr>
          <w:rFonts w:ascii="Calibri" w:hAnsi="Calibri"/>
          <w:color w:val="000000" w:themeColor="text1"/>
          <w:sz w:val="22"/>
          <w:szCs w:val="22"/>
          <w:lang w:val="en-GB"/>
        </w:rPr>
        <w:t xml:space="preserve">, Brazil </w:t>
      </w:r>
      <w:r w:rsidR="00C152BD" w:rsidRPr="00172E83">
        <w:rPr>
          <w:rFonts w:ascii="Calibri" w:hAnsi="Calibri"/>
          <w:color w:val="000000" w:themeColor="text1"/>
          <w:sz w:val="22"/>
          <w:szCs w:val="22"/>
          <w:lang w:val="en-GB"/>
        </w:rPr>
        <w:t>join</w:t>
      </w:r>
      <w:r w:rsidRPr="00172E83">
        <w:rPr>
          <w:rFonts w:ascii="Calibri" w:hAnsi="Calibri"/>
          <w:color w:val="000000" w:themeColor="text1"/>
          <w:sz w:val="22"/>
          <w:szCs w:val="22"/>
          <w:lang w:val="en-GB"/>
        </w:rPr>
        <w:t xml:space="preserve">ed </w:t>
      </w:r>
      <w:r w:rsidR="00D757F7" w:rsidRPr="00172E83">
        <w:rPr>
          <w:rFonts w:ascii="Calibri" w:hAnsi="Calibri"/>
          <w:color w:val="000000" w:themeColor="text1"/>
          <w:sz w:val="22"/>
          <w:szCs w:val="22"/>
          <w:lang w:val="en-GB"/>
        </w:rPr>
        <w:t>the sm</w:t>
      </w:r>
      <w:r w:rsidR="0093773B" w:rsidRPr="00172E83">
        <w:rPr>
          <w:rFonts w:ascii="Calibri" w:hAnsi="Calibri"/>
          <w:color w:val="000000" w:themeColor="text1"/>
          <w:sz w:val="22"/>
          <w:szCs w:val="22"/>
          <w:lang w:val="en-GB"/>
        </w:rPr>
        <w:t>all group of emerging countries</w:t>
      </w:r>
      <w:r w:rsidR="00D757F7" w:rsidRPr="00172E83">
        <w:rPr>
          <w:rFonts w:ascii="Calibri" w:hAnsi="Calibri"/>
          <w:color w:val="000000" w:themeColor="text1"/>
          <w:sz w:val="22"/>
          <w:szCs w:val="22"/>
          <w:lang w:val="en-GB"/>
        </w:rPr>
        <w:t xml:space="preserve"> which applied </w:t>
      </w:r>
      <w:r w:rsidR="007B69DB" w:rsidRPr="00172E83">
        <w:rPr>
          <w:rFonts w:ascii="Calibri" w:hAnsi="Calibri"/>
          <w:color w:val="000000" w:themeColor="text1"/>
          <w:sz w:val="22"/>
          <w:szCs w:val="22"/>
          <w:lang w:val="en-GB"/>
        </w:rPr>
        <w:t>these</w:t>
      </w:r>
      <w:r w:rsidR="0093773B" w:rsidRPr="00172E83">
        <w:rPr>
          <w:rFonts w:ascii="Calibri" w:hAnsi="Calibri"/>
          <w:color w:val="000000" w:themeColor="text1"/>
          <w:sz w:val="22"/>
          <w:szCs w:val="22"/>
          <w:lang w:val="en-GB"/>
        </w:rPr>
        <w:t xml:space="preserve"> </w:t>
      </w:r>
      <w:r w:rsidR="00D757F7" w:rsidRPr="00172E83">
        <w:rPr>
          <w:rFonts w:ascii="Calibri" w:hAnsi="Calibri"/>
          <w:color w:val="000000" w:themeColor="text1"/>
          <w:sz w:val="22"/>
          <w:szCs w:val="22"/>
          <w:lang w:val="en-GB"/>
        </w:rPr>
        <w:t>controls</w:t>
      </w:r>
      <w:r w:rsidR="00A0003B" w:rsidRPr="00172E83">
        <w:rPr>
          <w:rFonts w:ascii="Calibri" w:hAnsi="Calibri"/>
          <w:color w:val="000000" w:themeColor="text1"/>
          <w:sz w:val="22"/>
          <w:szCs w:val="22"/>
          <w:lang w:val="en-GB"/>
        </w:rPr>
        <w:t>.</w:t>
      </w:r>
      <w:r w:rsidR="00D757F7" w:rsidRPr="00172E83">
        <w:rPr>
          <w:rFonts w:ascii="Calibri" w:hAnsi="Calibri"/>
          <w:color w:val="000000" w:themeColor="text1"/>
          <w:sz w:val="22"/>
          <w:szCs w:val="22"/>
          <w:lang w:val="en-GB"/>
        </w:rPr>
        <w:t xml:space="preserve"> </w:t>
      </w:r>
      <w:r w:rsidR="00C152BD" w:rsidRPr="00172E83">
        <w:rPr>
          <w:rFonts w:ascii="Calibri" w:hAnsi="Calibri" w:cs="Calibri"/>
          <w:color w:val="000000" w:themeColor="text1"/>
          <w:sz w:val="22"/>
          <w:szCs w:val="22"/>
          <w:lang w:val="en-GB"/>
        </w:rPr>
        <w:t xml:space="preserve">From </w:t>
      </w:r>
      <w:r w:rsidR="00D757F7" w:rsidRPr="00172E83">
        <w:rPr>
          <w:rFonts w:ascii="Calibri" w:hAnsi="Calibri" w:cs="Calibri"/>
          <w:color w:val="000000" w:themeColor="text1"/>
          <w:sz w:val="22"/>
          <w:szCs w:val="22"/>
          <w:lang w:val="en-GB"/>
        </w:rPr>
        <w:t>1993</w:t>
      </w:r>
      <w:r w:rsidR="00D00CA2" w:rsidRPr="00172E83">
        <w:rPr>
          <w:rStyle w:val="Funotenzeichen"/>
          <w:rFonts w:ascii="Calibri" w:hAnsi="Calibri" w:cs="Calibri"/>
          <w:color w:val="000000" w:themeColor="text1"/>
          <w:sz w:val="22"/>
          <w:szCs w:val="22"/>
          <w:lang w:val="en-GB"/>
        </w:rPr>
        <w:footnoteReference w:id="7"/>
      </w:r>
      <w:r w:rsidR="00D757F7" w:rsidRPr="00172E83">
        <w:rPr>
          <w:rFonts w:ascii="Calibri" w:hAnsi="Calibri" w:cs="Calibri"/>
          <w:color w:val="000000" w:themeColor="text1"/>
          <w:sz w:val="22"/>
          <w:szCs w:val="22"/>
          <w:lang w:val="en-GB"/>
        </w:rPr>
        <w:t xml:space="preserve"> </w:t>
      </w:r>
      <w:r w:rsidR="00C152BD" w:rsidRPr="00172E83">
        <w:rPr>
          <w:rFonts w:ascii="Calibri" w:hAnsi="Calibri" w:cs="Calibri"/>
          <w:color w:val="000000" w:themeColor="text1"/>
          <w:sz w:val="22"/>
          <w:szCs w:val="22"/>
          <w:lang w:val="en-GB"/>
        </w:rPr>
        <w:t>to</w:t>
      </w:r>
      <w:r w:rsidR="00D757F7" w:rsidRPr="00172E83">
        <w:rPr>
          <w:rFonts w:ascii="Calibri" w:hAnsi="Calibri" w:cs="Calibri"/>
          <w:color w:val="000000" w:themeColor="text1"/>
          <w:sz w:val="22"/>
          <w:szCs w:val="22"/>
          <w:lang w:val="en-GB"/>
        </w:rPr>
        <w:t xml:space="preserve"> 1999, with temporary interruptions due to stop phases within </w:t>
      </w:r>
      <w:r w:rsidR="00C152BD" w:rsidRPr="00172E83">
        <w:rPr>
          <w:rFonts w:ascii="Calibri" w:hAnsi="Calibri" w:cs="Calibri"/>
          <w:color w:val="000000" w:themeColor="text1"/>
          <w:sz w:val="22"/>
          <w:szCs w:val="22"/>
          <w:lang w:val="en-GB"/>
        </w:rPr>
        <w:t xml:space="preserve">the </w:t>
      </w:r>
      <w:r w:rsidR="00E61CAD" w:rsidRPr="00172E83">
        <w:rPr>
          <w:rFonts w:ascii="Calibri" w:hAnsi="Calibri" w:cs="Calibri"/>
          <w:color w:val="000000" w:themeColor="text1"/>
          <w:sz w:val="22"/>
          <w:szCs w:val="22"/>
          <w:lang w:val="en-GB"/>
        </w:rPr>
        <w:t xml:space="preserve">capital flows </w:t>
      </w:r>
      <w:r w:rsidR="00D757F7" w:rsidRPr="00172E83">
        <w:rPr>
          <w:rFonts w:ascii="Calibri" w:hAnsi="Calibri" w:cs="Calibri"/>
          <w:color w:val="000000" w:themeColor="text1"/>
          <w:sz w:val="22"/>
          <w:szCs w:val="22"/>
          <w:lang w:val="en-GB"/>
        </w:rPr>
        <w:t>cycle, the central ban</w:t>
      </w:r>
      <w:r w:rsidR="001516BD" w:rsidRPr="00172E83">
        <w:rPr>
          <w:rFonts w:ascii="Calibri" w:hAnsi="Calibri" w:cs="Calibri"/>
          <w:color w:val="000000" w:themeColor="text1"/>
          <w:sz w:val="22"/>
          <w:szCs w:val="22"/>
          <w:lang w:val="en-GB"/>
        </w:rPr>
        <w:t xml:space="preserve">k launched a series of measures, </w:t>
      </w:r>
      <w:r w:rsidR="00C152BD" w:rsidRPr="00172E83">
        <w:rPr>
          <w:rFonts w:ascii="Calibri" w:hAnsi="Calibri" w:cs="Calibri"/>
          <w:color w:val="000000" w:themeColor="text1"/>
          <w:sz w:val="22"/>
          <w:szCs w:val="22"/>
          <w:lang w:val="en-GB"/>
        </w:rPr>
        <w:t>meant</w:t>
      </w:r>
      <w:r w:rsidR="00D757F7" w:rsidRPr="00172E83">
        <w:rPr>
          <w:rFonts w:ascii="Calibri" w:hAnsi="Calibri" w:cs="Calibri"/>
          <w:color w:val="000000" w:themeColor="text1"/>
          <w:sz w:val="22"/>
          <w:szCs w:val="22"/>
          <w:lang w:val="en-GB"/>
        </w:rPr>
        <w:t xml:space="preserve"> to discourage short-term capital inflows, </w:t>
      </w:r>
      <w:r w:rsidR="00C152BD" w:rsidRPr="00172E83">
        <w:rPr>
          <w:rFonts w:ascii="Calibri" w:hAnsi="Calibri" w:cs="Calibri"/>
          <w:color w:val="000000" w:themeColor="text1"/>
          <w:sz w:val="22"/>
          <w:szCs w:val="22"/>
          <w:lang w:val="en-GB"/>
        </w:rPr>
        <w:t xml:space="preserve">principally </w:t>
      </w:r>
      <w:r w:rsidR="00D757F7" w:rsidRPr="00172E83">
        <w:rPr>
          <w:rFonts w:ascii="Calibri" w:hAnsi="Calibri" w:cs="Calibri"/>
          <w:color w:val="000000" w:themeColor="text1"/>
          <w:sz w:val="22"/>
          <w:szCs w:val="22"/>
          <w:lang w:val="en-GB"/>
        </w:rPr>
        <w:t>short</w:t>
      </w:r>
      <w:r w:rsidR="00C152BD" w:rsidRPr="00172E83">
        <w:rPr>
          <w:rFonts w:ascii="Calibri" w:hAnsi="Calibri" w:cs="Calibri"/>
          <w:color w:val="000000" w:themeColor="text1"/>
          <w:sz w:val="22"/>
          <w:szCs w:val="22"/>
          <w:lang w:val="en-GB"/>
        </w:rPr>
        <w:t>-</w:t>
      </w:r>
      <w:r w:rsidR="00D757F7" w:rsidRPr="00172E83">
        <w:rPr>
          <w:rFonts w:ascii="Calibri" w:hAnsi="Calibri" w:cs="Calibri"/>
          <w:color w:val="000000" w:themeColor="text1"/>
          <w:sz w:val="22"/>
          <w:szCs w:val="22"/>
          <w:lang w:val="en-GB"/>
        </w:rPr>
        <w:t>term foreign loans and foreign portfolio investment into the public bond secondary market. The</w:t>
      </w:r>
      <w:r w:rsidR="00C152BD" w:rsidRPr="00172E83">
        <w:rPr>
          <w:rFonts w:ascii="Calibri" w:hAnsi="Calibri" w:cs="Calibri"/>
          <w:color w:val="000000" w:themeColor="text1"/>
          <w:sz w:val="22"/>
          <w:szCs w:val="22"/>
          <w:lang w:val="en-GB"/>
        </w:rPr>
        <w:t>se</w:t>
      </w:r>
      <w:r w:rsidR="00D757F7" w:rsidRPr="00172E83">
        <w:rPr>
          <w:rFonts w:ascii="Calibri" w:hAnsi="Calibri" w:cs="Calibri"/>
          <w:color w:val="000000" w:themeColor="text1"/>
          <w:sz w:val="22"/>
          <w:szCs w:val="22"/>
          <w:lang w:val="en-GB"/>
        </w:rPr>
        <w:t xml:space="preserve"> controls took the form of an </w:t>
      </w:r>
      <w:r w:rsidR="00A0003B" w:rsidRPr="00172E83">
        <w:rPr>
          <w:rFonts w:ascii="Calibri" w:hAnsi="Calibri" w:cs="Calibri"/>
          <w:color w:val="000000" w:themeColor="text1"/>
          <w:sz w:val="22"/>
          <w:szCs w:val="22"/>
          <w:lang w:val="en-GB"/>
        </w:rPr>
        <w:t>entry</w:t>
      </w:r>
      <w:r w:rsidR="00D757F7" w:rsidRPr="00172E83">
        <w:rPr>
          <w:rFonts w:ascii="Calibri" w:hAnsi="Calibri" w:cs="Calibri"/>
          <w:color w:val="000000" w:themeColor="text1"/>
          <w:sz w:val="22"/>
          <w:szCs w:val="22"/>
          <w:lang w:val="en-GB"/>
        </w:rPr>
        <w:t xml:space="preserve"> tax</w:t>
      </w:r>
      <w:r w:rsidR="005F2660" w:rsidRPr="00172E83">
        <w:rPr>
          <w:rFonts w:ascii="Calibri" w:hAnsi="Calibri" w:cs="Calibri"/>
          <w:color w:val="000000" w:themeColor="text1"/>
          <w:sz w:val="22"/>
          <w:szCs w:val="22"/>
          <w:lang w:val="en-GB"/>
        </w:rPr>
        <w:t>,</w:t>
      </w:r>
      <w:r w:rsidR="00D757F7" w:rsidRPr="00172E83">
        <w:rPr>
          <w:rFonts w:ascii="Calibri" w:hAnsi="Calibri" w:cs="Calibri"/>
          <w:color w:val="000000" w:themeColor="text1"/>
          <w:sz w:val="22"/>
          <w:szCs w:val="22"/>
          <w:lang w:val="en-GB"/>
        </w:rPr>
        <w:t xml:space="preserve"> called</w:t>
      </w:r>
      <w:r w:rsidR="003F0F4B" w:rsidRPr="00172E83">
        <w:rPr>
          <w:rFonts w:ascii="Calibri" w:hAnsi="Calibri" w:cs="Calibri"/>
          <w:color w:val="000000" w:themeColor="text1"/>
          <w:sz w:val="22"/>
          <w:szCs w:val="22"/>
          <w:lang w:val="en-GB"/>
        </w:rPr>
        <w:t xml:space="preserve"> the</w:t>
      </w:r>
      <w:r w:rsidR="00D757F7" w:rsidRPr="00172E83">
        <w:rPr>
          <w:rFonts w:ascii="Calibri" w:hAnsi="Calibri" w:cs="Calibri"/>
          <w:color w:val="000000" w:themeColor="text1"/>
          <w:sz w:val="22"/>
          <w:szCs w:val="22"/>
          <w:lang w:val="en-GB"/>
        </w:rPr>
        <w:t xml:space="preserve"> Tax on Financial Operations (</w:t>
      </w:r>
      <w:r w:rsidR="00D757F7" w:rsidRPr="00172E83">
        <w:rPr>
          <w:rFonts w:ascii="Calibri" w:hAnsi="Calibri" w:cs="Calibri"/>
          <w:i/>
          <w:color w:val="000000" w:themeColor="text1"/>
          <w:sz w:val="22"/>
          <w:szCs w:val="22"/>
          <w:lang w:val="en-GB"/>
        </w:rPr>
        <w:t xml:space="preserve">Imposto sobre Operações Financeiras </w:t>
      </w:r>
      <w:r w:rsidR="00D757F7" w:rsidRPr="00172E83">
        <w:rPr>
          <w:rFonts w:ascii="Calibri" w:hAnsi="Calibri" w:cs="Calibri"/>
          <w:color w:val="000000" w:themeColor="text1"/>
          <w:sz w:val="22"/>
          <w:szCs w:val="22"/>
          <w:lang w:val="en-GB"/>
        </w:rPr>
        <w:t xml:space="preserve">– IOF), in </w:t>
      </w:r>
      <w:r w:rsidR="00C152BD" w:rsidRPr="00172E83">
        <w:rPr>
          <w:rFonts w:ascii="Calibri" w:hAnsi="Calibri" w:cs="Calibri"/>
          <w:color w:val="000000" w:themeColor="text1"/>
          <w:sz w:val="22"/>
          <w:szCs w:val="22"/>
          <w:lang w:val="en-GB"/>
        </w:rPr>
        <w:t xml:space="preserve">conjunction </w:t>
      </w:r>
      <w:r w:rsidR="00D757F7" w:rsidRPr="00172E83">
        <w:rPr>
          <w:rFonts w:ascii="Calibri" w:hAnsi="Calibri" w:cs="Calibri"/>
          <w:color w:val="000000" w:themeColor="text1"/>
          <w:sz w:val="22"/>
          <w:szCs w:val="22"/>
          <w:lang w:val="en-GB"/>
        </w:rPr>
        <w:t xml:space="preserve">with </w:t>
      </w:r>
      <w:r w:rsidR="001516BD" w:rsidRPr="00172E83">
        <w:rPr>
          <w:rFonts w:ascii="Calibri" w:hAnsi="Calibri" w:cs="Calibri"/>
          <w:color w:val="000000" w:themeColor="text1"/>
          <w:sz w:val="22"/>
          <w:szCs w:val="22"/>
          <w:lang w:val="en-GB"/>
        </w:rPr>
        <w:t xml:space="preserve">minimum maturity for </w:t>
      </w:r>
      <w:r w:rsidR="00C87C0B" w:rsidRPr="00172E83">
        <w:rPr>
          <w:rFonts w:ascii="Calibri" w:hAnsi="Calibri" w:cs="Calibri"/>
          <w:color w:val="000000" w:themeColor="text1"/>
          <w:sz w:val="22"/>
          <w:szCs w:val="22"/>
          <w:lang w:val="en-GB"/>
        </w:rPr>
        <w:t xml:space="preserve">portfolio investments </w:t>
      </w:r>
      <w:r w:rsidR="001516BD" w:rsidRPr="00172E83">
        <w:rPr>
          <w:rFonts w:ascii="Calibri" w:hAnsi="Calibri" w:cs="Calibri"/>
          <w:color w:val="000000" w:themeColor="text1"/>
          <w:sz w:val="22"/>
          <w:szCs w:val="22"/>
          <w:lang w:val="en-GB"/>
        </w:rPr>
        <w:t xml:space="preserve">and </w:t>
      </w:r>
      <w:r w:rsidR="00D757F7" w:rsidRPr="00172E83">
        <w:rPr>
          <w:rFonts w:ascii="Calibri" w:hAnsi="Calibri" w:cs="Calibri"/>
          <w:color w:val="000000" w:themeColor="text1"/>
          <w:sz w:val="22"/>
          <w:szCs w:val="22"/>
          <w:lang w:val="en-GB"/>
        </w:rPr>
        <w:t>administrative controls</w:t>
      </w:r>
      <w:r w:rsidR="001516BD" w:rsidRPr="00172E83">
        <w:rPr>
          <w:rFonts w:ascii="Calibri" w:hAnsi="Calibri" w:cs="Calibri"/>
          <w:color w:val="000000" w:themeColor="text1"/>
          <w:sz w:val="22"/>
          <w:szCs w:val="22"/>
          <w:lang w:val="en-GB"/>
        </w:rPr>
        <w:t xml:space="preserve"> to close channels for short term inflows (see table </w:t>
      </w:r>
      <w:r w:rsidR="00614E83" w:rsidRPr="00172E83">
        <w:rPr>
          <w:rFonts w:ascii="Calibri" w:hAnsi="Calibri" w:cs="Calibri"/>
          <w:color w:val="000000" w:themeColor="text1"/>
          <w:sz w:val="22"/>
          <w:szCs w:val="22"/>
          <w:lang w:val="en-GB"/>
        </w:rPr>
        <w:t>3</w:t>
      </w:r>
      <w:r w:rsidR="001516BD" w:rsidRPr="00172E83">
        <w:rPr>
          <w:rFonts w:ascii="Calibri" w:hAnsi="Calibri" w:cs="Calibri"/>
          <w:color w:val="000000" w:themeColor="text1"/>
          <w:sz w:val="22"/>
          <w:szCs w:val="22"/>
          <w:lang w:val="en-GB"/>
        </w:rPr>
        <w:t>)</w:t>
      </w:r>
      <w:r w:rsidR="00D757F7" w:rsidRPr="00172E83">
        <w:rPr>
          <w:rFonts w:ascii="Calibri" w:hAnsi="Calibri" w:cs="Calibri"/>
          <w:color w:val="000000" w:themeColor="text1"/>
          <w:sz w:val="22"/>
          <w:szCs w:val="22"/>
          <w:lang w:val="en-GB"/>
        </w:rPr>
        <w:t xml:space="preserve">. </w:t>
      </w:r>
    </w:p>
    <w:p w14:paraId="0E685BBD" w14:textId="3328350E" w:rsidR="00E728E7" w:rsidRPr="00172E83" w:rsidRDefault="00E728E7" w:rsidP="00E728E7">
      <w:pPr>
        <w:pStyle w:val="Corpodetexto1"/>
        <w:spacing w:line="100" w:lineRule="atLeast"/>
        <w:rPr>
          <w:rFonts w:ascii="Calibri" w:hAnsi="Calibri" w:cs="Calibri"/>
          <w:b/>
          <w:color w:val="000000" w:themeColor="text1"/>
          <w:sz w:val="22"/>
          <w:szCs w:val="22"/>
          <w:lang w:val="en-GB"/>
        </w:rPr>
      </w:pPr>
      <w:r w:rsidRPr="00172E83">
        <w:rPr>
          <w:rFonts w:ascii="Calibri" w:hAnsi="Calibri" w:cs="Calibri"/>
          <w:b/>
          <w:color w:val="000000" w:themeColor="text1"/>
          <w:sz w:val="22"/>
          <w:szCs w:val="22"/>
          <w:lang w:val="en-GB"/>
        </w:rPr>
        <w:t xml:space="preserve">Table </w:t>
      </w:r>
      <w:r w:rsidR="00614E83" w:rsidRPr="00172E83">
        <w:rPr>
          <w:rFonts w:ascii="Calibri" w:hAnsi="Calibri" w:cs="Calibri"/>
          <w:b/>
          <w:color w:val="000000" w:themeColor="text1"/>
          <w:sz w:val="22"/>
          <w:szCs w:val="22"/>
          <w:lang w:val="en-GB"/>
        </w:rPr>
        <w:t>3</w:t>
      </w:r>
      <w:r w:rsidRPr="00172E83">
        <w:rPr>
          <w:rFonts w:ascii="Calibri" w:hAnsi="Calibri" w:cs="Calibri"/>
          <w:b/>
          <w:color w:val="000000" w:themeColor="text1"/>
          <w:sz w:val="22"/>
          <w:szCs w:val="22"/>
          <w:lang w:val="en-GB"/>
        </w:rPr>
        <w:t>. Capital Account Regulation 1993-1999</w:t>
      </w:r>
    </w:p>
    <w:p w14:paraId="5E2DF823" w14:textId="446073ED" w:rsidR="00E728E7" w:rsidRPr="00172E83" w:rsidRDefault="00E728E7" w:rsidP="00280BFD">
      <w:pPr>
        <w:pStyle w:val="Padro"/>
        <w:jc w:val="both"/>
        <w:rPr>
          <w:rFonts w:ascii="Calibri" w:hAnsi="Calibri"/>
          <w:iCs/>
          <w:color w:val="000000" w:themeColor="text1"/>
          <w:sz w:val="22"/>
          <w:szCs w:val="22"/>
          <w:lang w:val="pt-BR"/>
        </w:rPr>
      </w:pPr>
      <w:r w:rsidRPr="00172E83">
        <w:rPr>
          <w:rFonts w:ascii="Calibri" w:hAnsi="Calibri"/>
          <w:iCs/>
          <w:color w:val="000000" w:themeColor="text1"/>
          <w:sz w:val="22"/>
          <w:szCs w:val="22"/>
          <w:lang w:val="pt-BR"/>
        </w:rPr>
        <w:object w:dxaOrig="9340" w:dyaOrig="9040" w14:anchorId="24954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53.75pt" o:ole="">
            <v:imagedata r:id="rId12" o:title=""/>
          </v:shape>
          <o:OLEObject Type="Embed" ProgID="Word.Document.12" ShapeID="_x0000_i1025" DrawAspect="Content" ObjectID="_1596365674" r:id="rId13">
            <o:FieldCodes>\s</o:FieldCodes>
          </o:OLEObject>
        </w:object>
      </w:r>
    </w:p>
    <w:p w14:paraId="3BC5D9C5" w14:textId="05D182C1" w:rsidR="005F2660" w:rsidRPr="00172E83" w:rsidRDefault="005F2660" w:rsidP="00A0003B">
      <w:pPr>
        <w:pStyle w:val="Padro"/>
        <w:spacing w:after="120" w:line="360" w:lineRule="auto"/>
        <w:jc w:val="both"/>
        <w:rPr>
          <w:color w:val="000000" w:themeColor="text1"/>
          <w:lang w:val="en-US"/>
        </w:rPr>
      </w:pPr>
      <w:r w:rsidRPr="00172E83">
        <w:rPr>
          <w:rFonts w:ascii="Calibri" w:hAnsi="Calibri" w:cs="Calibri"/>
          <w:color w:val="000000" w:themeColor="text1"/>
          <w:sz w:val="22"/>
          <w:szCs w:val="22"/>
          <w:lang w:val="en-GB"/>
        </w:rPr>
        <w:t>T</w:t>
      </w:r>
      <w:r w:rsidR="00D757F7" w:rsidRPr="00172E83">
        <w:rPr>
          <w:rFonts w:ascii="Calibri" w:hAnsi="Calibri" w:cs="Calibri"/>
          <w:color w:val="000000" w:themeColor="text1"/>
          <w:sz w:val="22"/>
          <w:szCs w:val="22"/>
          <w:lang w:val="en-GB"/>
        </w:rPr>
        <w:t>he regulations were adjusted within the stop-go</w:t>
      </w:r>
      <w:r w:rsidR="00C152BD" w:rsidRPr="00172E83">
        <w:rPr>
          <w:rFonts w:ascii="Calibri" w:hAnsi="Calibri" w:cs="Calibri"/>
          <w:color w:val="000000" w:themeColor="text1"/>
          <w:sz w:val="22"/>
          <w:szCs w:val="22"/>
          <w:lang w:val="en-GB"/>
        </w:rPr>
        <w:t xml:space="preserve"> </w:t>
      </w:r>
      <w:r w:rsidR="00D757F7" w:rsidRPr="00172E83">
        <w:rPr>
          <w:rFonts w:ascii="Calibri" w:hAnsi="Calibri" w:cs="Calibri"/>
          <w:color w:val="000000" w:themeColor="text1"/>
          <w:sz w:val="22"/>
          <w:szCs w:val="22"/>
          <w:lang w:val="en-GB"/>
        </w:rPr>
        <w:t>cycle of volatile capital inflows due to financial crisis episodes in other emerging market economies</w:t>
      </w:r>
      <w:r w:rsidR="00C9326A" w:rsidRPr="00172E83">
        <w:rPr>
          <w:rFonts w:ascii="Calibri" w:hAnsi="Calibri" w:cs="Calibri"/>
          <w:color w:val="000000" w:themeColor="text1"/>
          <w:sz w:val="22"/>
          <w:szCs w:val="22"/>
          <w:lang w:val="en-GB"/>
        </w:rPr>
        <w:t xml:space="preserve">, tightening or loosening </w:t>
      </w:r>
      <w:r w:rsidRPr="00172E83">
        <w:rPr>
          <w:rFonts w:ascii="Calibri" w:hAnsi="Calibri" w:cs="Calibri"/>
          <w:color w:val="000000" w:themeColor="text1"/>
          <w:sz w:val="22"/>
          <w:szCs w:val="22"/>
          <w:lang w:val="en-GB"/>
        </w:rPr>
        <w:t>depending on the moment of the cycle</w:t>
      </w:r>
      <w:r w:rsidR="00D757F7" w:rsidRPr="00172E83">
        <w:rPr>
          <w:rFonts w:ascii="Calibri" w:hAnsi="Calibri" w:cs="Calibri"/>
          <w:color w:val="000000" w:themeColor="text1"/>
          <w:sz w:val="22"/>
          <w:szCs w:val="22"/>
          <w:lang w:val="en-GB"/>
        </w:rPr>
        <w:t xml:space="preserve">. </w:t>
      </w:r>
      <w:r w:rsidR="00C87C0B" w:rsidRPr="00172E83">
        <w:rPr>
          <w:rFonts w:ascii="Calibri" w:hAnsi="Calibri" w:cs="Calibri"/>
          <w:color w:val="000000" w:themeColor="text1"/>
          <w:sz w:val="22"/>
          <w:szCs w:val="22"/>
          <w:lang w:val="en-GB"/>
        </w:rPr>
        <w:t>This</w:t>
      </w:r>
      <w:r w:rsidR="001516BD" w:rsidRPr="00172E83">
        <w:rPr>
          <w:rFonts w:ascii="Calibri" w:hAnsi="Calibri" w:cs="Calibri"/>
          <w:color w:val="000000" w:themeColor="text1"/>
          <w:sz w:val="22"/>
          <w:szCs w:val="22"/>
          <w:lang w:val="en-GB"/>
        </w:rPr>
        <w:t xml:space="preserve"> fine</w:t>
      </w:r>
      <w:r w:rsidR="00C87C0B" w:rsidRPr="00172E83">
        <w:rPr>
          <w:rFonts w:ascii="Calibri" w:hAnsi="Calibri" w:cs="Calibri"/>
          <w:color w:val="000000" w:themeColor="text1"/>
          <w:sz w:val="22"/>
          <w:szCs w:val="22"/>
          <w:lang w:val="en-GB"/>
        </w:rPr>
        <w:t xml:space="preserve"> </w:t>
      </w:r>
      <w:r w:rsidR="001516BD" w:rsidRPr="00172E83">
        <w:rPr>
          <w:rFonts w:ascii="Calibri" w:hAnsi="Calibri" w:cs="Calibri"/>
          <w:color w:val="000000" w:themeColor="text1"/>
          <w:sz w:val="22"/>
          <w:szCs w:val="22"/>
          <w:lang w:val="en-GB"/>
        </w:rPr>
        <w:t xml:space="preserve">tuning </w:t>
      </w:r>
      <w:r w:rsidR="00C87C0B" w:rsidRPr="00172E83">
        <w:rPr>
          <w:rFonts w:ascii="Calibri" w:hAnsi="Calibri" w:cs="Calibri"/>
          <w:color w:val="000000" w:themeColor="text1"/>
          <w:sz w:val="22"/>
          <w:szCs w:val="22"/>
          <w:lang w:val="en-GB"/>
        </w:rPr>
        <w:t>of capital controls was necessary to maintain the volume of inflows needed to finance the current account deficit</w:t>
      </w:r>
      <w:r w:rsidR="00E73684" w:rsidRPr="00172E83">
        <w:rPr>
          <w:rFonts w:ascii="Calibri" w:hAnsi="Calibri" w:cs="Calibri"/>
          <w:color w:val="000000" w:themeColor="text1"/>
          <w:sz w:val="22"/>
          <w:szCs w:val="22"/>
          <w:lang w:val="en-GB"/>
        </w:rPr>
        <w:t xml:space="preserve"> (the main macroeconomic constrain),</w:t>
      </w:r>
      <w:r w:rsidR="00C87C0B" w:rsidRPr="00172E83">
        <w:rPr>
          <w:rFonts w:ascii="Calibri" w:hAnsi="Calibri" w:cs="Calibri"/>
          <w:color w:val="000000" w:themeColor="text1"/>
          <w:sz w:val="22"/>
          <w:szCs w:val="22"/>
          <w:lang w:val="en-GB"/>
        </w:rPr>
        <w:t xml:space="preserve"> </w:t>
      </w:r>
      <w:r w:rsidR="00E73684" w:rsidRPr="00172E83">
        <w:rPr>
          <w:rFonts w:ascii="Calibri" w:hAnsi="Calibri" w:cs="Calibri"/>
          <w:color w:val="000000" w:themeColor="text1"/>
          <w:sz w:val="22"/>
          <w:szCs w:val="22"/>
          <w:lang w:val="en-GB"/>
        </w:rPr>
        <w:t xml:space="preserve">then ensuring </w:t>
      </w:r>
      <w:r w:rsidR="00C87C0B" w:rsidRPr="00172E83">
        <w:rPr>
          <w:rFonts w:ascii="Calibri" w:hAnsi="Calibri" w:cs="Calibri"/>
          <w:color w:val="000000" w:themeColor="text1"/>
          <w:sz w:val="22"/>
          <w:szCs w:val="22"/>
          <w:lang w:val="en-GB"/>
        </w:rPr>
        <w:t xml:space="preserve">the </w:t>
      </w:r>
      <w:r w:rsidR="00E73684" w:rsidRPr="00172E83">
        <w:rPr>
          <w:rFonts w:ascii="Calibri" w:hAnsi="Calibri" w:cs="Calibri"/>
          <w:color w:val="000000" w:themeColor="text1"/>
          <w:sz w:val="22"/>
          <w:szCs w:val="22"/>
          <w:lang w:val="en-GB"/>
        </w:rPr>
        <w:t>maintenance of the exchange-rate anchor (the macroeconomic regime)</w:t>
      </w:r>
      <w:r w:rsidR="005D2967" w:rsidRPr="00172E83">
        <w:rPr>
          <w:rFonts w:ascii="Calibri" w:hAnsi="Calibri" w:cs="Calibri"/>
          <w:color w:val="000000" w:themeColor="text1"/>
          <w:sz w:val="22"/>
          <w:szCs w:val="22"/>
          <w:lang w:val="en-GB"/>
        </w:rPr>
        <w:t xml:space="preserve">. In this setting, the institutional features of the Brazilian financial added challenges to the CAR strategy (see Table </w:t>
      </w:r>
      <w:r w:rsidR="00614E83" w:rsidRPr="00172E83">
        <w:rPr>
          <w:rFonts w:ascii="Calibri" w:hAnsi="Calibri" w:cs="Calibri"/>
          <w:color w:val="000000" w:themeColor="text1"/>
          <w:sz w:val="22"/>
          <w:szCs w:val="22"/>
          <w:lang w:val="en-GB"/>
        </w:rPr>
        <w:t>4</w:t>
      </w:r>
      <w:r w:rsidR="005D2967" w:rsidRPr="00172E83">
        <w:rPr>
          <w:rFonts w:ascii="Calibri" w:hAnsi="Calibri" w:cs="Calibri"/>
          <w:color w:val="000000" w:themeColor="text1"/>
          <w:sz w:val="22"/>
          <w:szCs w:val="22"/>
          <w:lang w:val="en-GB"/>
        </w:rPr>
        <w:t>)</w:t>
      </w:r>
      <w:r w:rsidR="00E73684" w:rsidRPr="00172E83">
        <w:rPr>
          <w:rFonts w:ascii="Calibri" w:hAnsi="Calibri" w:cs="Calibri"/>
          <w:color w:val="000000" w:themeColor="text1"/>
          <w:sz w:val="22"/>
          <w:szCs w:val="22"/>
          <w:lang w:val="en-GB"/>
        </w:rPr>
        <w:t xml:space="preserve">. </w:t>
      </w:r>
    </w:p>
    <w:p w14:paraId="693A5743" w14:textId="0B954F2B" w:rsidR="00614E83" w:rsidRPr="00172E83" w:rsidRDefault="008D55A6" w:rsidP="00603BA3">
      <w:pPr>
        <w:pStyle w:val="Corpodetexto1"/>
        <w:spacing w:after="0" w:line="360" w:lineRule="auto"/>
        <w:jc w:val="both"/>
        <w:rPr>
          <w:rFonts w:ascii="Calibri" w:hAnsi="Calibri" w:cs="Calibri"/>
          <w:b/>
          <w:color w:val="000000" w:themeColor="text1"/>
          <w:sz w:val="22"/>
          <w:szCs w:val="22"/>
          <w:lang w:val="en-GB"/>
        </w:rPr>
      </w:pPr>
      <w:r w:rsidRPr="00172E83">
        <w:rPr>
          <w:rFonts w:ascii="Calibri" w:hAnsi="Calibri" w:cs="Calibri"/>
          <w:color w:val="000000" w:themeColor="text1"/>
          <w:sz w:val="22"/>
          <w:szCs w:val="22"/>
          <w:lang w:val="en-GB"/>
        </w:rPr>
        <w:t xml:space="preserve">Given the </w:t>
      </w:r>
      <w:r w:rsidR="00C152BD" w:rsidRPr="00172E83">
        <w:rPr>
          <w:rFonts w:ascii="Calibri" w:hAnsi="Calibri" w:cs="Calibri"/>
          <w:color w:val="000000" w:themeColor="text1"/>
          <w:sz w:val="22"/>
          <w:szCs w:val="22"/>
          <w:lang w:val="en-GB"/>
        </w:rPr>
        <w:t>middling</w:t>
      </w:r>
      <w:r w:rsidRPr="00172E83">
        <w:rPr>
          <w:rFonts w:ascii="Calibri" w:hAnsi="Calibri" w:cs="Calibri"/>
          <w:color w:val="000000" w:themeColor="text1"/>
          <w:sz w:val="22"/>
          <w:szCs w:val="22"/>
          <w:lang w:val="en-GB"/>
        </w:rPr>
        <w:t xml:space="preserve"> financial openness and </w:t>
      </w:r>
      <w:r w:rsidR="005F2660" w:rsidRPr="00172E83">
        <w:rPr>
          <w:rFonts w:ascii="Calibri" w:hAnsi="Calibri" w:cs="Calibri"/>
          <w:color w:val="000000" w:themeColor="text1"/>
          <w:sz w:val="22"/>
          <w:szCs w:val="22"/>
          <w:lang w:val="en-GB"/>
        </w:rPr>
        <w:t>middl</w:t>
      </w:r>
      <w:r w:rsidR="003D37DF" w:rsidRPr="00172E83">
        <w:rPr>
          <w:rFonts w:ascii="Calibri" w:hAnsi="Calibri" w:cs="Calibri"/>
          <w:color w:val="000000" w:themeColor="text1"/>
          <w:sz w:val="22"/>
          <w:szCs w:val="22"/>
          <w:lang w:val="en-GB"/>
        </w:rPr>
        <w:t>e</w:t>
      </w:r>
      <w:r w:rsidR="005F2660" w:rsidRPr="00172E83">
        <w:rPr>
          <w:rFonts w:ascii="Calibri" w:hAnsi="Calibri" w:cs="Calibri"/>
          <w:color w:val="000000" w:themeColor="text1"/>
          <w:sz w:val="22"/>
          <w:szCs w:val="22"/>
          <w:lang w:val="en-GB"/>
        </w:rPr>
        <w:t xml:space="preserve"> to high level of domestic financial market sophistication, f</w:t>
      </w:r>
      <w:r w:rsidR="00E73684" w:rsidRPr="00172E83">
        <w:rPr>
          <w:rFonts w:ascii="Calibri" w:hAnsi="Calibri" w:cs="Calibri"/>
          <w:color w:val="000000" w:themeColor="text1"/>
          <w:sz w:val="22"/>
          <w:szCs w:val="22"/>
          <w:lang w:val="en-GB"/>
        </w:rPr>
        <w:t>oreign</w:t>
      </w:r>
      <w:r w:rsidR="005F2660" w:rsidRPr="00172E83">
        <w:rPr>
          <w:rFonts w:ascii="Calibri" w:hAnsi="Calibri" w:cs="Calibri"/>
          <w:color w:val="000000" w:themeColor="text1"/>
          <w:sz w:val="22"/>
          <w:szCs w:val="22"/>
          <w:lang w:val="en-GB"/>
        </w:rPr>
        <w:t xml:space="preserve"> investors constantly succeeded in detecting ways to circumvent the capital inflows controls in order to inves</w:t>
      </w:r>
      <w:r w:rsidR="00385CE4" w:rsidRPr="00172E83">
        <w:rPr>
          <w:rFonts w:ascii="Calibri" w:hAnsi="Calibri" w:cs="Calibri"/>
          <w:color w:val="000000" w:themeColor="text1"/>
          <w:sz w:val="22"/>
          <w:szCs w:val="22"/>
          <w:lang w:val="en-GB"/>
        </w:rPr>
        <w:t>t in high-yielding public bonds</w:t>
      </w:r>
      <w:r w:rsidR="003D37DF" w:rsidRPr="00172E83">
        <w:rPr>
          <w:rFonts w:ascii="Calibri" w:hAnsi="Calibri" w:cs="Calibri"/>
          <w:color w:val="000000" w:themeColor="text1"/>
          <w:sz w:val="22"/>
          <w:szCs w:val="22"/>
          <w:lang w:val="en-GB"/>
        </w:rPr>
        <w:t>, as stated also by the literature on capital controls in Brazil in this period</w:t>
      </w:r>
      <w:r w:rsidR="00385CE4" w:rsidRPr="00172E83">
        <w:rPr>
          <w:rFonts w:ascii="Calibri" w:hAnsi="Calibri" w:cs="Calibri"/>
          <w:color w:val="000000" w:themeColor="text1"/>
          <w:sz w:val="22"/>
          <w:szCs w:val="22"/>
          <w:lang w:val="en-GB"/>
        </w:rPr>
        <w:t>. Th</w:t>
      </w:r>
      <w:r w:rsidR="003D37DF" w:rsidRPr="00172E83">
        <w:rPr>
          <w:rFonts w:ascii="Calibri" w:hAnsi="Calibri" w:cs="Calibri"/>
          <w:color w:val="000000" w:themeColor="text1"/>
          <w:sz w:val="22"/>
          <w:szCs w:val="22"/>
          <w:lang w:val="en-GB"/>
        </w:rPr>
        <w:t>us</w:t>
      </w:r>
      <w:r w:rsidR="00385CE4" w:rsidRPr="00172E83">
        <w:rPr>
          <w:rFonts w:ascii="Calibri" w:hAnsi="Calibri" w:cs="Calibri"/>
          <w:color w:val="000000" w:themeColor="text1"/>
          <w:sz w:val="22"/>
          <w:szCs w:val="22"/>
          <w:lang w:val="en-GB"/>
        </w:rPr>
        <w:t>, over the boom phases of the international capital</w:t>
      </w:r>
      <w:r w:rsidR="002F42BA" w:rsidRPr="00172E83">
        <w:rPr>
          <w:rFonts w:ascii="Calibri" w:hAnsi="Calibri" w:cs="Calibri"/>
          <w:color w:val="000000" w:themeColor="text1"/>
          <w:sz w:val="22"/>
          <w:szCs w:val="22"/>
          <w:lang w:val="en-GB"/>
        </w:rPr>
        <w:t xml:space="preserve"> flows</w:t>
      </w:r>
      <w:r w:rsidR="00385CE4" w:rsidRPr="00172E83">
        <w:rPr>
          <w:rFonts w:ascii="Calibri" w:hAnsi="Calibri" w:cs="Calibri"/>
          <w:color w:val="000000" w:themeColor="text1"/>
          <w:sz w:val="22"/>
          <w:szCs w:val="22"/>
          <w:lang w:val="en-GB"/>
        </w:rPr>
        <w:t xml:space="preserve"> cycle, </w:t>
      </w:r>
      <w:r w:rsidR="005F2660" w:rsidRPr="00172E83">
        <w:rPr>
          <w:rFonts w:ascii="Calibri" w:hAnsi="Calibri" w:cs="Calibri"/>
          <w:color w:val="000000" w:themeColor="text1"/>
          <w:sz w:val="22"/>
          <w:szCs w:val="22"/>
          <w:lang w:val="en-GB"/>
        </w:rPr>
        <w:t xml:space="preserve">the central bank continuously had to further broaden controls in order to </w:t>
      </w:r>
      <w:r w:rsidR="00C152BD" w:rsidRPr="00172E83">
        <w:rPr>
          <w:rFonts w:ascii="Calibri" w:hAnsi="Calibri" w:cs="Calibri"/>
          <w:color w:val="000000" w:themeColor="text1"/>
          <w:sz w:val="22"/>
          <w:szCs w:val="22"/>
          <w:lang w:val="en-GB"/>
        </w:rPr>
        <w:t xml:space="preserve">cover </w:t>
      </w:r>
      <w:r w:rsidR="005F2660" w:rsidRPr="00172E83">
        <w:rPr>
          <w:rFonts w:ascii="Calibri" w:hAnsi="Calibri" w:cs="Calibri"/>
          <w:color w:val="000000" w:themeColor="text1"/>
          <w:sz w:val="22"/>
          <w:szCs w:val="22"/>
          <w:lang w:val="en-GB"/>
        </w:rPr>
        <w:t xml:space="preserve">existing regulation gaps. </w:t>
      </w:r>
      <w:r w:rsidR="009A52FB" w:rsidRPr="00172E83">
        <w:rPr>
          <w:rFonts w:ascii="Calibri" w:hAnsi="Calibri" w:cs="Calibri"/>
          <w:color w:val="000000" w:themeColor="text1"/>
          <w:sz w:val="22"/>
          <w:szCs w:val="22"/>
          <w:lang w:val="en-GB"/>
        </w:rPr>
        <w:t xml:space="preserve">For example, to cope with swelling inflows, the </w:t>
      </w:r>
      <w:r w:rsidR="008848B0" w:rsidRPr="00172E83">
        <w:rPr>
          <w:rFonts w:ascii="Calibri" w:hAnsi="Calibri" w:cs="Calibri"/>
          <w:color w:val="000000" w:themeColor="text1"/>
          <w:sz w:val="22"/>
          <w:szCs w:val="22"/>
          <w:lang w:val="en-GB"/>
        </w:rPr>
        <w:t>financial</w:t>
      </w:r>
      <w:r w:rsidR="009A52FB" w:rsidRPr="00172E83">
        <w:rPr>
          <w:rFonts w:ascii="Calibri" w:hAnsi="Calibri" w:cs="Calibri"/>
          <w:color w:val="000000" w:themeColor="text1"/>
          <w:sz w:val="22"/>
          <w:szCs w:val="22"/>
          <w:lang w:val="en-GB"/>
        </w:rPr>
        <w:t xml:space="preserve"> tax</w:t>
      </w:r>
      <w:r w:rsidR="008848B0" w:rsidRPr="00172E83">
        <w:rPr>
          <w:rFonts w:ascii="Calibri" w:hAnsi="Calibri" w:cs="Calibri"/>
          <w:color w:val="000000" w:themeColor="text1"/>
          <w:sz w:val="22"/>
          <w:szCs w:val="22"/>
          <w:lang w:val="en-GB"/>
        </w:rPr>
        <w:t xml:space="preserve"> </w:t>
      </w:r>
      <w:r w:rsidR="009A52FB" w:rsidRPr="00172E83">
        <w:rPr>
          <w:rFonts w:ascii="Calibri" w:hAnsi="Calibri" w:cs="Calibri"/>
          <w:color w:val="000000" w:themeColor="text1"/>
          <w:sz w:val="22"/>
          <w:szCs w:val="22"/>
          <w:lang w:val="en-GB"/>
        </w:rPr>
        <w:t>was first extended to a broad range of capital inflows in March 19</w:t>
      </w:r>
      <w:r w:rsidR="008848B0" w:rsidRPr="00172E83">
        <w:rPr>
          <w:rFonts w:ascii="Calibri" w:hAnsi="Calibri" w:cs="Calibri"/>
          <w:color w:val="000000" w:themeColor="text1"/>
          <w:sz w:val="22"/>
          <w:szCs w:val="22"/>
          <w:lang w:val="en-GB"/>
        </w:rPr>
        <w:t>9</w:t>
      </w:r>
      <w:r w:rsidR="009A52FB" w:rsidRPr="00172E83">
        <w:rPr>
          <w:rFonts w:ascii="Calibri" w:hAnsi="Calibri" w:cs="Calibri"/>
          <w:color w:val="000000" w:themeColor="text1"/>
          <w:sz w:val="22"/>
          <w:szCs w:val="22"/>
          <w:lang w:val="en-GB"/>
        </w:rPr>
        <w:t xml:space="preserve">4, and then raised in October of the same year. </w:t>
      </w:r>
      <w:r w:rsidR="00385CE4" w:rsidRPr="00172E83">
        <w:rPr>
          <w:rFonts w:ascii="Calibri" w:hAnsi="Calibri" w:cs="Calibri"/>
          <w:color w:val="000000" w:themeColor="text1"/>
          <w:sz w:val="22"/>
          <w:szCs w:val="22"/>
          <w:lang w:val="en-GB"/>
        </w:rPr>
        <w:t xml:space="preserve">In other words, </w:t>
      </w:r>
      <w:r w:rsidR="00287E84" w:rsidRPr="00172E83">
        <w:rPr>
          <w:rFonts w:ascii="Calibri" w:hAnsi="Calibri" w:cs="Calibri"/>
          <w:color w:val="000000" w:themeColor="text1"/>
          <w:sz w:val="22"/>
          <w:szCs w:val="22"/>
          <w:lang w:val="en-GB"/>
        </w:rPr>
        <w:t>CAR</w:t>
      </w:r>
      <w:r w:rsidR="00D757F7" w:rsidRPr="00172E83">
        <w:rPr>
          <w:rFonts w:ascii="Calibri" w:hAnsi="Calibri" w:cs="Calibri"/>
          <w:color w:val="000000" w:themeColor="text1"/>
          <w:sz w:val="22"/>
          <w:szCs w:val="22"/>
          <w:lang w:val="en-GB"/>
        </w:rPr>
        <w:t xml:space="preserve"> continuously </w:t>
      </w:r>
      <w:r w:rsidR="002E3B99" w:rsidRPr="00172E83">
        <w:rPr>
          <w:rFonts w:ascii="Calibri" w:hAnsi="Calibri" w:cs="Calibri"/>
          <w:color w:val="000000" w:themeColor="text1"/>
          <w:sz w:val="22"/>
          <w:szCs w:val="22"/>
          <w:lang w:val="en-GB"/>
        </w:rPr>
        <w:t xml:space="preserve">had to be </w:t>
      </w:r>
      <w:r w:rsidR="00D757F7" w:rsidRPr="00172E83">
        <w:rPr>
          <w:rFonts w:ascii="Calibri" w:hAnsi="Calibri" w:cs="Calibri"/>
          <w:color w:val="000000" w:themeColor="text1"/>
          <w:sz w:val="22"/>
          <w:szCs w:val="22"/>
          <w:lang w:val="en-GB"/>
        </w:rPr>
        <w:t xml:space="preserve">revised </w:t>
      </w:r>
      <w:r w:rsidR="00CF00A4" w:rsidRPr="00172E83">
        <w:rPr>
          <w:rFonts w:ascii="Calibri" w:hAnsi="Calibri" w:cs="Calibri"/>
          <w:color w:val="000000" w:themeColor="text1"/>
          <w:sz w:val="22"/>
          <w:szCs w:val="22"/>
          <w:lang w:val="en-GB"/>
        </w:rPr>
        <w:t>within a re</w:t>
      </w:r>
      <w:r w:rsidR="006418A4" w:rsidRPr="00172E83">
        <w:rPr>
          <w:rFonts w:ascii="Calibri" w:hAnsi="Calibri" w:cs="Calibri"/>
          <w:color w:val="000000" w:themeColor="text1"/>
          <w:sz w:val="22"/>
          <w:szCs w:val="22"/>
          <w:lang w:val="en-GB"/>
        </w:rPr>
        <w:t>gulatory arbitrage</w:t>
      </w:r>
      <w:r w:rsidR="00C152BD" w:rsidRPr="00172E83">
        <w:rPr>
          <w:rFonts w:ascii="Calibri" w:hAnsi="Calibri" w:cs="Calibri"/>
          <w:color w:val="000000" w:themeColor="text1"/>
          <w:sz w:val="22"/>
          <w:szCs w:val="22"/>
          <w:lang w:val="en-GB"/>
        </w:rPr>
        <w:t xml:space="preserve"> cat-and-mouse</w:t>
      </w:r>
      <w:r w:rsidR="006418A4" w:rsidRPr="00172E83">
        <w:rPr>
          <w:rFonts w:ascii="Calibri" w:hAnsi="Calibri" w:cs="Calibri"/>
          <w:color w:val="000000" w:themeColor="text1"/>
          <w:sz w:val="22"/>
          <w:szCs w:val="22"/>
          <w:lang w:val="en-GB"/>
        </w:rPr>
        <w:t xml:space="preserve"> game between regulators and </w:t>
      </w:r>
      <w:r w:rsidR="002E3B99" w:rsidRPr="00172E83">
        <w:rPr>
          <w:rFonts w:ascii="Calibri" w:hAnsi="Calibri" w:cs="Calibri"/>
          <w:color w:val="000000" w:themeColor="text1"/>
          <w:sz w:val="22"/>
          <w:szCs w:val="22"/>
          <w:lang w:val="en-GB"/>
        </w:rPr>
        <w:t>international investors</w:t>
      </w:r>
      <w:r w:rsidR="00C95119" w:rsidRPr="00172E83">
        <w:rPr>
          <w:rStyle w:val="Funotenzeichen"/>
          <w:rFonts w:ascii="Calibri" w:hAnsi="Calibri" w:cs="Calibri"/>
          <w:color w:val="000000" w:themeColor="text1"/>
          <w:sz w:val="22"/>
          <w:szCs w:val="22"/>
          <w:lang w:val="en-GB"/>
        </w:rPr>
        <w:footnoteReference w:id="8"/>
      </w:r>
      <w:r w:rsidR="008848B0" w:rsidRPr="00172E83">
        <w:rPr>
          <w:rFonts w:ascii="Calibri" w:hAnsi="Calibri" w:cs="Calibri"/>
          <w:color w:val="000000" w:themeColor="text1"/>
          <w:sz w:val="22"/>
          <w:szCs w:val="22"/>
          <w:lang w:val="en-GB"/>
        </w:rPr>
        <w:t xml:space="preserve">. </w:t>
      </w:r>
      <w:r w:rsidR="003D37DF" w:rsidRPr="00172E83">
        <w:rPr>
          <w:rFonts w:ascii="Calibri" w:hAnsi="Calibri" w:cs="Calibri"/>
          <w:color w:val="000000" w:themeColor="text1"/>
          <w:sz w:val="22"/>
          <w:szCs w:val="22"/>
          <w:lang w:val="en-GB"/>
        </w:rPr>
        <w:t>Yet, it is important to notice that t</w:t>
      </w:r>
      <w:r w:rsidR="002F42BA" w:rsidRPr="00172E83">
        <w:rPr>
          <w:rFonts w:ascii="Calibri" w:hAnsi="Calibri" w:cs="Calibri"/>
          <w:color w:val="000000" w:themeColor="text1"/>
          <w:sz w:val="22"/>
          <w:szCs w:val="22"/>
          <w:lang w:val="en-GB"/>
        </w:rPr>
        <w:t xml:space="preserve">his game </w:t>
      </w:r>
      <w:r w:rsidR="003D37DF" w:rsidRPr="00172E83">
        <w:rPr>
          <w:rFonts w:ascii="Calibri" w:hAnsi="Calibri" w:cs="Calibri"/>
          <w:color w:val="000000" w:themeColor="text1"/>
          <w:sz w:val="22"/>
          <w:szCs w:val="22"/>
          <w:lang w:val="en-GB"/>
        </w:rPr>
        <w:t xml:space="preserve">repeatedly </w:t>
      </w:r>
      <w:r w:rsidR="002F42BA" w:rsidRPr="00172E83">
        <w:rPr>
          <w:rFonts w:ascii="Calibri" w:hAnsi="Calibri" w:cs="Calibri"/>
          <w:color w:val="000000" w:themeColor="text1"/>
          <w:sz w:val="22"/>
          <w:szCs w:val="22"/>
          <w:lang w:val="en-GB"/>
        </w:rPr>
        <w:t xml:space="preserve">came to an end </w:t>
      </w:r>
      <w:r w:rsidR="00E56944" w:rsidRPr="00172E83">
        <w:rPr>
          <w:rFonts w:ascii="Calibri" w:hAnsi="Calibri" w:cs="Calibri"/>
          <w:color w:val="000000" w:themeColor="text1"/>
          <w:sz w:val="22"/>
          <w:szCs w:val="22"/>
          <w:lang w:val="en-GB"/>
        </w:rPr>
        <w:t>when that</w:t>
      </w:r>
      <w:r w:rsidR="002F42BA" w:rsidRPr="00172E83">
        <w:rPr>
          <w:rFonts w:ascii="Calibri" w:hAnsi="Calibri" w:cs="Calibri"/>
          <w:color w:val="000000" w:themeColor="text1"/>
          <w:sz w:val="22"/>
          <w:szCs w:val="22"/>
          <w:lang w:val="en-GB"/>
        </w:rPr>
        <w:t xml:space="preserve"> cycle entered into </w:t>
      </w:r>
      <w:r w:rsidR="003D37DF" w:rsidRPr="00172E83">
        <w:rPr>
          <w:rFonts w:ascii="Calibri" w:hAnsi="Calibri" w:cs="Calibri"/>
          <w:color w:val="000000" w:themeColor="text1"/>
          <w:sz w:val="22"/>
          <w:szCs w:val="22"/>
          <w:lang w:val="en-GB"/>
        </w:rPr>
        <w:t xml:space="preserve">a </w:t>
      </w:r>
      <w:r w:rsidR="002F42BA" w:rsidRPr="00172E83">
        <w:rPr>
          <w:rFonts w:ascii="Calibri" w:hAnsi="Calibri" w:cs="Calibri"/>
          <w:color w:val="000000" w:themeColor="text1"/>
          <w:sz w:val="22"/>
          <w:szCs w:val="22"/>
          <w:lang w:val="en-GB"/>
        </w:rPr>
        <w:t>bust phase</w:t>
      </w:r>
      <w:r w:rsidR="008848B0" w:rsidRPr="00172E83">
        <w:rPr>
          <w:rFonts w:ascii="Calibri" w:hAnsi="Calibri" w:cs="Calibri"/>
          <w:color w:val="000000" w:themeColor="text1"/>
          <w:sz w:val="22"/>
          <w:szCs w:val="22"/>
          <w:lang w:val="en-GB"/>
        </w:rPr>
        <w:t>. Accordingly, t</w:t>
      </w:r>
      <w:r w:rsidR="003D37DF" w:rsidRPr="00172E83">
        <w:rPr>
          <w:rFonts w:ascii="Calibri" w:hAnsi="Calibri" w:cs="Calibri"/>
          <w:color w:val="000000" w:themeColor="text1"/>
          <w:sz w:val="22"/>
          <w:szCs w:val="22"/>
          <w:lang w:val="en-GB"/>
        </w:rPr>
        <w:t>he two moments of loosening capital controls during this period are related to contagion effects of the Mexican financial crisis in the beginning of 1995, and the</w:t>
      </w:r>
      <w:r w:rsidR="008848B0" w:rsidRPr="00172E83">
        <w:rPr>
          <w:rFonts w:ascii="Calibri" w:hAnsi="Calibri" w:cs="Calibri"/>
          <w:color w:val="000000" w:themeColor="text1"/>
          <w:sz w:val="22"/>
          <w:szCs w:val="22"/>
          <w:lang w:val="en-GB"/>
        </w:rPr>
        <w:t xml:space="preserve"> so-called Asian crisis in 1997 </w:t>
      </w:r>
      <w:r w:rsidR="00556DEB" w:rsidRPr="00172E83">
        <w:rPr>
          <w:rFonts w:ascii="Calibri" w:hAnsi="Calibri" w:cs="Calibri"/>
          <w:color w:val="000000" w:themeColor="text1"/>
          <w:sz w:val="22"/>
          <w:szCs w:val="22"/>
          <w:lang w:val="en-GB"/>
        </w:rPr>
        <w:t xml:space="preserve">(see table </w:t>
      </w:r>
      <w:r w:rsidR="00614E83" w:rsidRPr="00172E83">
        <w:rPr>
          <w:rFonts w:ascii="Calibri" w:hAnsi="Calibri" w:cs="Calibri"/>
          <w:color w:val="000000" w:themeColor="text1"/>
          <w:sz w:val="22"/>
          <w:szCs w:val="22"/>
          <w:lang w:val="en-GB"/>
        </w:rPr>
        <w:t>3</w:t>
      </w:r>
      <w:r w:rsidR="00556DEB" w:rsidRPr="00172E83">
        <w:rPr>
          <w:rFonts w:ascii="Calibri" w:hAnsi="Calibri" w:cs="Calibri"/>
          <w:color w:val="000000" w:themeColor="text1"/>
          <w:sz w:val="22"/>
          <w:szCs w:val="22"/>
          <w:lang w:val="en-GB"/>
        </w:rPr>
        <w:t>)</w:t>
      </w:r>
      <w:r w:rsidR="00E160D3" w:rsidRPr="00172E83">
        <w:rPr>
          <w:rFonts w:ascii="Calibri" w:hAnsi="Calibri" w:cs="Calibri"/>
          <w:color w:val="000000" w:themeColor="text1"/>
          <w:sz w:val="22"/>
          <w:szCs w:val="22"/>
          <w:lang w:val="en-GB"/>
        </w:rPr>
        <w:t>.</w:t>
      </w:r>
      <w:r w:rsidR="00556DEB" w:rsidRPr="00172E83">
        <w:rPr>
          <w:rFonts w:ascii="Calibri" w:hAnsi="Calibri" w:cs="Calibri"/>
          <w:color w:val="000000" w:themeColor="text1"/>
          <w:sz w:val="22"/>
          <w:szCs w:val="22"/>
          <w:lang w:val="en-GB"/>
        </w:rPr>
        <w:t xml:space="preserve"> </w:t>
      </w:r>
      <w:r w:rsidR="00E160D3" w:rsidRPr="00172E83">
        <w:rPr>
          <w:rFonts w:ascii="Calibri" w:hAnsi="Calibri" w:cs="Calibri"/>
          <w:color w:val="000000" w:themeColor="text1"/>
          <w:sz w:val="22"/>
          <w:szCs w:val="22"/>
          <w:lang w:val="en-GB"/>
        </w:rPr>
        <w:t>In face of the high external vulnerability and the inevitable depletion of international reserves</w:t>
      </w:r>
      <w:r w:rsidR="00556DEB" w:rsidRPr="00172E83">
        <w:rPr>
          <w:rFonts w:ascii="Calibri" w:hAnsi="Calibri" w:cs="Calibri"/>
          <w:color w:val="000000" w:themeColor="text1"/>
          <w:sz w:val="22"/>
          <w:szCs w:val="22"/>
          <w:lang w:val="en-GB"/>
        </w:rPr>
        <w:t xml:space="preserve">, </w:t>
      </w:r>
      <w:r w:rsidR="00E56944" w:rsidRPr="00172E83">
        <w:rPr>
          <w:rFonts w:ascii="Calibri" w:hAnsi="Calibri" w:cs="Calibri"/>
          <w:color w:val="000000" w:themeColor="text1"/>
          <w:sz w:val="22"/>
          <w:szCs w:val="22"/>
          <w:lang w:val="en-GB"/>
        </w:rPr>
        <w:t>a currency crisis broke out in January 1999,</w:t>
      </w:r>
      <w:r w:rsidR="00E56944" w:rsidRPr="00172E83">
        <w:rPr>
          <w:rFonts w:ascii="Calibri" w:hAnsi="Calibri" w:cs="Calibri"/>
          <w:color w:val="000000" w:themeColor="text1"/>
          <w:sz w:val="22"/>
          <w:szCs w:val="22"/>
          <w:lang w:val="en-US"/>
        </w:rPr>
        <w:t xml:space="preserve"> </w:t>
      </w:r>
      <w:r w:rsidR="00E56944" w:rsidRPr="00172E83">
        <w:rPr>
          <w:rFonts w:ascii="Calibri" w:hAnsi="Calibri" w:cs="Calibri"/>
          <w:color w:val="000000" w:themeColor="text1"/>
          <w:sz w:val="22"/>
          <w:szCs w:val="22"/>
          <w:lang w:val="en-GB"/>
        </w:rPr>
        <w:t xml:space="preserve">resulting in the collapse of the exchange rate-anchored macroeconomic regime. </w:t>
      </w:r>
      <w:r w:rsidR="003D37DF" w:rsidRPr="00172E83">
        <w:rPr>
          <w:rFonts w:ascii="Calibri" w:hAnsi="Calibri" w:cs="Calibri"/>
          <w:color w:val="000000" w:themeColor="text1"/>
          <w:sz w:val="22"/>
          <w:szCs w:val="22"/>
          <w:lang w:val="en-GB"/>
        </w:rPr>
        <w:t xml:space="preserve">  </w:t>
      </w:r>
    </w:p>
    <w:p w14:paraId="28B19C44" w14:textId="7741D07B" w:rsidR="006418A4" w:rsidRPr="00172E83" w:rsidRDefault="00603BA3" w:rsidP="00603BA3">
      <w:pPr>
        <w:pStyle w:val="Corpodetexto1"/>
        <w:spacing w:after="0" w:line="360" w:lineRule="auto"/>
        <w:jc w:val="both"/>
        <w:rPr>
          <w:rFonts w:ascii="Calibri" w:hAnsi="Calibri" w:cs="Calibri"/>
          <w:b/>
          <w:color w:val="000000" w:themeColor="text1"/>
          <w:sz w:val="22"/>
          <w:szCs w:val="22"/>
          <w:lang w:val="en-GB"/>
        </w:rPr>
      </w:pPr>
      <w:r w:rsidRPr="00172E83">
        <w:rPr>
          <w:rFonts w:ascii="Calibri" w:hAnsi="Calibri" w:cs="Calibri"/>
          <w:b/>
          <w:color w:val="000000" w:themeColor="text1"/>
          <w:sz w:val="22"/>
          <w:szCs w:val="22"/>
          <w:lang w:val="en-GB"/>
        </w:rPr>
        <w:t xml:space="preserve">Table </w:t>
      </w:r>
      <w:r w:rsidR="00614E83" w:rsidRPr="00172E83">
        <w:rPr>
          <w:rFonts w:ascii="Calibri" w:hAnsi="Calibri" w:cs="Calibri"/>
          <w:b/>
          <w:color w:val="000000" w:themeColor="text1"/>
          <w:sz w:val="22"/>
          <w:szCs w:val="22"/>
          <w:lang w:val="en-GB"/>
        </w:rPr>
        <w:t>4</w:t>
      </w:r>
      <w:r w:rsidR="00797CB5" w:rsidRPr="00172E83">
        <w:rPr>
          <w:rFonts w:ascii="Calibri" w:hAnsi="Calibri" w:cs="Calibri"/>
          <w:b/>
          <w:color w:val="000000" w:themeColor="text1"/>
          <w:sz w:val="22"/>
          <w:szCs w:val="22"/>
          <w:lang w:val="en-GB"/>
        </w:rPr>
        <w:t>.</w:t>
      </w:r>
      <w:r w:rsidR="0016375B" w:rsidRPr="00172E83">
        <w:rPr>
          <w:rFonts w:ascii="Calibri" w:hAnsi="Calibri" w:cs="Calibri"/>
          <w:b/>
          <w:color w:val="000000" w:themeColor="text1"/>
          <w:sz w:val="22"/>
          <w:szCs w:val="22"/>
          <w:lang w:val="en-GB"/>
        </w:rPr>
        <w:t xml:space="preserve"> Brazil 1990s</w:t>
      </w:r>
    </w:p>
    <w:tbl>
      <w:tblPr>
        <w:tblW w:w="9923" w:type="dxa"/>
        <w:tblInd w:w="-148" w:type="dxa"/>
        <w:tblCellMar>
          <w:left w:w="0" w:type="dxa"/>
          <w:right w:w="0" w:type="dxa"/>
        </w:tblCellMar>
        <w:tblLook w:val="04A0" w:firstRow="1" w:lastRow="0" w:firstColumn="1" w:lastColumn="0" w:noHBand="0" w:noVBand="1"/>
      </w:tblPr>
      <w:tblGrid>
        <w:gridCol w:w="5671"/>
        <w:gridCol w:w="4252"/>
      </w:tblGrid>
      <w:tr w:rsidR="00172E83" w:rsidRPr="00172E83" w14:paraId="4AAF874D" w14:textId="77777777" w:rsidTr="00D4398D">
        <w:trPr>
          <w:trHeight w:val="356"/>
        </w:trPr>
        <w:tc>
          <w:tcPr>
            <w:tcW w:w="9923" w:type="dxa"/>
            <w:gridSpan w:val="2"/>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tcPr>
          <w:p w14:paraId="33046550" w14:textId="72D374AA" w:rsidR="00C877FB" w:rsidRPr="00172E83" w:rsidRDefault="00C877FB" w:rsidP="00C877FB">
            <w:pPr>
              <w:spacing w:after="0"/>
              <w:jc w:val="center"/>
              <w:rPr>
                <w:rFonts w:ascii="Arial" w:eastAsia="Times New Roman" w:hAnsi="Arial" w:cs="Arial"/>
                <w:color w:val="000000" w:themeColor="text1"/>
                <w:sz w:val="24"/>
                <w:szCs w:val="36"/>
                <w:lang w:val="en-US" w:eastAsia="pt-BR"/>
              </w:rPr>
            </w:pPr>
            <w:r w:rsidRPr="00172E83">
              <w:rPr>
                <w:rFonts w:ascii="Calibri" w:eastAsia="Calibri" w:hAnsi="Calibri" w:cs="Arial"/>
                <w:b/>
                <w:bCs/>
                <w:color w:val="000000" w:themeColor="text1"/>
                <w:kern w:val="24"/>
                <w:sz w:val="24"/>
                <w:szCs w:val="32"/>
                <w:lang w:val="en-US" w:eastAsia="pt-BR"/>
              </w:rPr>
              <w:t>Macroeconomic constraints</w:t>
            </w:r>
          </w:p>
        </w:tc>
      </w:tr>
      <w:tr w:rsidR="00172E83" w:rsidRPr="00172E83" w14:paraId="01B6059D" w14:textId="77777777" w:rsidTr="00D4398D">
        <w:trPr>
          <w:trHeight w:val="351"/>
        </w:trPr>
        <w:tc>
          <w:tcPr>
            <w:tcW w:w="9923" w:type="dxa"/>
            <w:gridSpan w:val="2"/>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tcPr>
          <w:p w14:paraId="164E110B" w14:textId="6CB8374A" w:rsidR="00287DF3" w:rsidRPr="00172E83" w:rsidRDefault="00287DF3" w:rsidP="00536338">
            <w:pPr>
              <w:spacing w:after="0"/>
              <w:rPr>
                <w:rFonts w:ascii="Arial" w:eastAsia="Times New Roman" w:hAnsi="Arial" w:cs="Arial"/>
                <w:color w:val="000000" w:themeColor="text1"/>
                <w:sz w:val="24"/>
                <w:szCs w:val="36"/>
                <w:lang w:val="en-US" w:eastAsia="pt-BR"/>
              </w:rPr>
            </w:pPr>
            <w:r w:rsidRPr="00172E83">
              <w:rPr>
                <w:rFonts w:ascii="Calibri" w:eastAsia="Calibri" w:hAnsi="Calibri" w:cs="Arial"/>
                <w:bCs/>
                <w:color w:val="000000" w:themeColor="text1"/>
                <w:kern w:val="24"/>
                <w:sz w:val="24"/>
                <w:szCs w:val="32"/>
                <w:lang w:val="en-US" w:eastAsia="pt-BR"/>
              </w:rPr>
              <w:t xml:space="preserve">    - External vulnerability: High </w:t>
            </w:r>
            <w:r w:rsidRPr="00172E83">
              <w:rPr>
                <w:rFonts w:ascii="Calibri" w:eastAsia="Calibri" w:hAnsi="Calibri" w:cs="Times New Roman"/>
                <w:bCs/>
                <w:color w:val="000000" w:themeColor="text1"/>
                <w:kern w:val="24"/>
                <w:sz w:val="24"/>
                <w:szCs w:val="32"/>
                <w:lang w:val="en-US" w:eastAsia="pt-BR"/>
              </w:rPr>
              <w:t>(</w:t>
            </w:r>
            <w:r w:rsidRPr="00172E83">
              <w:rPr>
                <w:rFonts w:ascii="Calibri" w:eastAsia="Calibri" w:hAnsi="Calibri" w:cs="Arial"/>
                <w:bCs/>
                <w:color w:val="000000" w:themeColor="text1"/>
                <w:kern w:val="24"/>
                <w:sz w:val="24"/>
                <w:szCs w:val="32"/>
                <w:lang w:val="en-US" w:eastAsia="pt-BR"/>
              </w:rPr>
              <w:t xml:space="preserve">high external debt; </w:t>
            </w:r>
            <w:r w:rsidR="00421706">
              <w:rPr>
                <w:rFonts w:ascii="Calibri" w:eastAsia="Calibri" w:hAnsi="Calibri" w:cs="Arial"/>
                <w:bCs/>
                <w:color w:val="000000" w:themeColor="text1"/>
                <w:kern w:val="24"/>
                <w:sz w:val="24"/>
                <w:szCs w:val="32"/>
                <w:lang w:val="en-US" w:eastAsia="pt-BR"/>
              </w:rPr>
              <w:t xml:space="preserve">high </w:t>
            </w:r>
            <w:r w:rsidR="00421706">
              <w:rPr>
                <w:rFonts w:ascii="Calibri" w:eastAsia="Calibri" w:hAnsi="Calibri" w:cs="Arial"/>
                <w:bCs/>
                <w:color w:val="000000" w:themeColor="text1"/>
                <w:kern w:val="24"/>
                <w:szCs w:val="32"/>
                <w:lang w:val="en-US" w:eastAsia="pt-BR"/>
              </w:rPr>
              <w:t>current account deficit)</w:t>
            </w:r>
          </w:p>
          <w:p w14:paraId="77CCAA81" w14:textId="75E69B18" w:rsidR="00287DF3" w:rsidRPr="00172E83" w:rsidRDefault="00287DF3" w:rsidP="00523A8B">
            <w:pPr>
              <w:spacing w:after="0"/>
              <w:rPr>
                <w:rFonts w:ascii="Calibri" w:eastAsia="Calibri" w:hAnsi="Calibri" w:cs="Arial"/>
                <w:b/>
                <w:bCs/>
                <w:color w:val="000000" w:themeColor="text1"/>
                <w:kern w:val="24"/>
                <w:sz w:val="24"/>
                <w:szCs w:val="32"/>
                <w:lang w:val="en-US" w:eastAsia="pt-BR"/>
              </w:rPr>
            </w:pPr>
            <w:r w:rsidRPr="00172E83">
              <w:rPr>
                <w:rFonts w:ascii="Calibri" w:eastAsia="Calibri" w:hAnsi="Calibri" w:cs="Arial"/>
                <w:bCs/>
                <w:color w:val="000000" w:themeColor="text1"/>
                <w:kern w:val="24"/>
                <w:sz w:val="24"/>
                <w:szCs w:val="36"/>
                <w:lang w:val="en-US" w:eastAsia="pt-BR"/>
              </w:rPr>
              <w:t xml:space="preserve">   -  </w:t>
            </w:r>
            <w:r w:rsidRPr="00172E83">
              <w:rPr>
                <w:rFonts w:ascii="Calibri" w:eastAsia="Calibri" w:hAnsi="Calibri" w:cs="Arial"/>
                <w:bCs/>
                <w:color w:val="000000" w:themeColor="text1"/>
                <w:kern w:val="24"/>
                <w:sz w:val="24"/>
                <w:szCs w:val="32"/>
                <w:lang w:val="en-US" w:eastAsia="pt-BR"/>
              </w:rPr>
              <w:t>Inflation: High</w:t>
            </w:r>
          </w:p>
        </w:tc>
      </w:tr>
      <w:tr w:rsidR="00172E83" w:rsidRPr="00172E83" w14:paraId="0A2D8CAD" w14:textId="77777777" w:rsidTr="00D4398D">
        <w:trPr>
          <w:trHeight w:val="356"/>
        </w:trPr>
        <w:tc>
          <w:tcPr>
            <w:tcW w:w="9923" w:type="dxa"/>
            <w:gridSpan w:val="2"/>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tcPr>
          <w:p w14:paraId="5FF9B8A5" w14:textId="57CE460E" w:rsidR="00FE6C0F" w:rsidRPr="00172E83" w:rsidRDefault="00FE6C0F" w:rsidP="00FE6C0F">
            <w:pPr>
              <w:spacing w:after="0"/>
              <w:jc w:val="center"/>
              <w:rPr>
                <w:rFonts w:ascii="Calibri" w:eastAsia="Calibri" w:hAnsi="Calibri" w:cs="Arial"/>
                <w:b/>
                <w:bCs/>
                <w:color w:val="000000" w:themeColor="text1"/>
                <w:kern w:val="24"/>
                <w:sz w:val="24"/>
                <w:szCs w:val="32"/>
                <w:lang w:val="en-US" w:eastAsia="pt-BR"/>
              </w:rPr>
            </w:pPr>
            <w:r w:rsidRPr="00172E83">
              <w:rPr>
                <w:rFonts w:ascii="Calibri" w:eastAsia="Calibri" w:hAnsi="Calibri" w:cs="Arial"/>
                <w:b/>
                <w:bCs/>
                <w:color w:val="000000" w:themeColor="text1"/>
                <w:kern w:val="24"/>
                <w:sz w:val="24"/>
                <w:szCs w:val="32"/>
                <w:lang w:val="en-US" w:eastAsia="pt-BR"/>
              </w:rPr>
              <w:t>Macroeconomic Regime</w:t>
            </w:r>
          </w:p>
        </w:tc>
      </w:tr>
      <w:tr w:rsidR="00172E83" w:rsidRPr="006D09DE" w14:paraId="0845B450" w14:textId="77777777" w:rsidTr="00D4398D">
        <w:trPr>
          <w:trHeight w:val="5206"/>
        </w:trPr>
        <w:tc>
          <w:tcPr>
            <w:tcW w:w="5671" w:type="dxa"/>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tcPr>
          <w:p w14:paraId="4B83CE74" w14:textId="2EFB5C6E" w:rsidR="00287DF3" w:rsidRPr="00172E83" w:rsidRDefault="00FE6C0F" w:rsidP="00287DF3">
            <w:pPr>
              <w:spacing w:after="0"/>
              <w:rPr>
                <w:rFonts w:ascii="Calibri" w:eastAsia="Calibri" w:hAnsi="Calibri" w:cs="Arial"/>
                <w:b/>
                <w:bCs/>
                <w:color w:val="000000" w:themeColor="text1"/>
                <w:kern w:val="24"/>
                <w:sz w:val="24"/>
                <w:szCs w:val="32"/>
                <w:lang w:val="en-US" w:eastAsia="pt-BR"/>
              </w:rPr>
            </w:pPr>
            <w:r w:rsidRPr="00172E83">
              <w:rPr>
                <w:rFonts w:ascii="Calibri" w:eastAsia="Calibri" w:hAnsi="Calibri" w:cs="Arial"/>
                <w:b/>
                <w:bCs/>
                <w:color w:val="000000" w:themeColor="text1"/>
                <w:kern w:val="24"/>
                <w:sz w:val="24"/>
                <w:szCs w:val="32"/>
                <w:lang w:val="en-US" w:eastAsia="pt-BR"/>
              </w:rPr>
              <w:t>Macroeconomic policy</w:t>
            </w:r>
            <w:r w:rsidR="00287DF3" w:rsidRPr="00172E83">
              <w:rPr>
                <w:rFonts w:ascii="Calibri" w:eastAsia="Calibri" w:hAnsi="Calibri" w:cs="Arial"/>
                <w:b/>
                <w:bCs/>
                <w:color w:val="000000" w:themeColor="text1"/>
                <w:kern w:val="24"/>
                <w:sz w:val="24"/>
                <w:szCs w:val="32"/>
                <w:lang w:val="en-US" w:eastAsia="pt-BR"/>
              </w:rPr>
              <w:t xml:space="preserve">: </w:t>
            </w:r>
          </w:p>
          <w:p w14:paraId="4D898F42" w14:textId="72CB6685" w:rsidR="00536338" w:rsidRPr="00172E83" w:rsidRDefault="00287DF3" w:rsidP="001A51CE">
            <w:pPr>
              <w:spacing w:after="0"/>
              <w:rPr>
                <w:rFonts w:ascii="Arial" w:eastAsia="Times New Roman" w:hAnsi="Arial" w:cs="Arial"/>
                <w:color w:val="000000" w:themeColor="text1"/>
                <w:sz w:val="24"/>
                <w:szCs w:val="36"/>
                <w:lang w:val="en-US" w:eastAsia="pt-BR"/>
              </w:rPr>
            </w:pPr>
            <w:r w:rsidRPr="00172E83">
              <w:rPr>
                <w:rFonts w:ascii="Calibri" w:eastAsia="Calibri" w:hAnsi="Calibri" w:cs="Arial"/>
                <w:b/>
                <w:bCs/>
                <w:i/>
                <w:color w:val="000000" w:themeColor="text1"/>
                <w:kern w:val="24"/>
                <w:sz w:val="24"/>
                <w:szCs w:val="32"/>
                <w:lang w:val="en-US" w:eastAsia="pt-BR"/>
              </w:rPr>
              <w:t>Exchange rate-anchored stabilization</w:t>
            </w:r>
            <w:r w:rsidRPr="00172E83">
              <w:rPr>
                <w:rFonts w:ascii="Calibri" w:eastAsia="Calibri" w:hAnsi="Calibri" w:cs="Arial"/>
                <w:b/>
                <w:bCs/>
                <w:color w:val="000000" w:themeColor="text1"/>
                <w:kern w:val="24"/>
                <w:sz w:val="24"/>
                <w:szCs w:val="32"/>
                <w:lang w:val="en-US" w:eastAsia="pt-BR"/>
              </w:rPr>
              <w:t xml:space="preserve"> </w:t>
            </w:r>
            <w:r w:rsidR="00536338" w:rsidRPr="00172E83">
              <w:rPr>
                <w:rFonts w:ascii="Calibri" w:eastAsia="Calibri" w:hAnsi="Calibri" w:cs="Arial"/>
                <w:b/>
                <w:bCs/>
                <w:color w:val="000000" w:themeColor="text1"/>
                <w:kern w:val="24"/>
                <w:sz w:val="24"/>
                <w:szCs w:val="40"/>
                <w:lang w:val="en-US" w:eastAsia="pt-BR"/>
              </w:rPr>
              <w:br/>
            </w:r>
            <w:r w:rsidR="00536338" w:rsidRPr="00172E83">
              <w:rPr>
                <w:rFonts w:ascii="Calibri" w:eastAsia="Calibri" w:hAnsi="Calibri" w:cs="Arial"/>
                <w:b/>
                <w:bCs/>
                <w:i/>
                <w:color w:val="000000" w:themeColor="text1"/>
                <w:kern w:val="24"/>
                <w:sz w:val="24"/>
                <w:szCs w:val="32"/>
                <w:lang w:val="en-US" w:eastAsia="pt-BR"/>
              </w:rPr>
              <w:t xml:space="preserve">   </w:t>
            </w:r>
            <w:r w:rsidR="00536338" w:rsidRPr="00172E83">
              <w:rPr>
                <w:rFonts w:ascii="Calibri" w:eastAsia="Calibri" w:hAnsi="Calibri" w:cs="Arial"/>
                <w:bCs/>
                <w:i/>
                <w:color w:val="000000" w:themeColor="text1"/>
                <w:kern w:val="24"/>
                <w:sz w:val="24"/>
                <w:szCs w:val="32"/>
                <w:lang w:val="en-US" w:eastAsia="pt-BR"/>
              </w:rPr>
              <w:t>Aim</w:t>
            </w:r>
            <w:r w:rsidRPr="00172E83">
              <w:rPr>
                <w:rFonts w:ascii="Calibri" w:eastAsia="Calibri" w:hAnsi="Calibri" w:cs="Arial"/>
                <w:bCs/>
                <w:i/>
                <w:color w:val="000000" w:themeColor="text1"/>
                <w:kern w:val="24"/>
                <w:sz w:val="24"/>
                <w:szCs w:val="32"/>
                <w:lang w:val="en-US" w:eastAsia="pt-BR"/>
              </w:rPr>
              <w:t>:</w:t>
            </w:r>
            <w:r w:rsidRPr="00172E83">
              <w:rPr>
                <w:rFonts w:ascii="Calibri" w:eastAsia="Calibri" w:hAnsi="Calibri" w:cs="Arial"/>
                <w:bCs/>
                <w:color w:val="000000" w:themeColor="text1"/>
                <w:kern w:val="24"/>
                <w:sz w:val="24"/>
                <w:szCs w:val="32"/>
                <w:lang w:val="en-US" w:eastAsia="pt-BR"/>
              </w:rPr>
              <w:t xml:space="preserve"> Inflation reduction </w:t>
            </w:r>
          </w:p>
          <w:p w14:paraId="3149C02D" w14:textId="3F412DEE" w:rsidR="00536338" w:rsidRPr="00172E83" w:rsidRDefault="00287DF3" w:rsidP="001A51CE">
            <w:pPr>
              <w:spacing w:after="0"/>
              <w:rPr>
                <w:rFonts w:ascii="Arial" w:eastAsia="Times New Roman" w:hAnsi="Arial" w:cs="Arial"/>
                <w:color w:val="000000" w:themeColor="text1"/>
                <w:sz w:val="24"/>
                <w:szCs w:val="36"/>
                <w:lang w:val="en-US" w:eastAsia="pt-BR"/>
              </w:rPr>
            </w:pPr>
            <w:r w:rsidRPr="00172E83">
              <w:rPr>
                <w:rFonts w:ascii="Calibri" w:eastAsia="Calibri" w:hAnsi="Calibri" w:cs="Arial"/>
                <w:bCs/>
                <w:i/>
                <w:color w:val="000000" w:themeColor="text1"/>
                <w:kern w:val="24"/>
                <w:sz w:val="24"/>
                <w:szCs w:val="32"/>
                <w:lang w:val="en-US" w:eastAsia="pt-BR"/>
              </w:rPr>
              <w:t xml:space="preserve">   </w:t>
            </w:r>
            <w:r w:rsidR="00536338" w:rsidRPr="00172E83">
              <w:rPr>
                <w:rFonts w:ascii="Calibri" w:eastAsia="Calibri" w:hAnsi="Calibri" w:cs="Arial"/>
                <w:bCs/>
                <w:i/>
                <w:color w:val="000000" w:themeColor="text1"/>
                <w:kern w:val="24"/>
                <w:sz w:val="24"/>
                <w:szCs w:val="32"/>
                <w:lang w:val="en-US" w:eastAsia="pt-BR"/>
              </w:rPr>
              <w:t>Target</w:t>
            </w:r>
            <w:r w:rsidRPr="00172E83">
              <w:rPr>
                <w:rFonts w:ascii="Segoe UI" w:eastAsia="Times New Roman" w:hAnsi="Segoe UI" w:cs="Segoe UI"/>
                <w:bCs/>
                <w:color w:val="000000" w:themeColor="text1"/>
                <w:kern w:val="24"/>
                <w:sz w:val="24"/>
                <w:szCs w:val="36"/>
                <w:lang w:val="en-US" w:eastAsia="pt-BR"/>
              </w:rPr>
              <w:t xml:space="preserve">: </w:t>
            </w:r>
            <w:r w:rsidRPr="00172E83">
              <w:rPr>
                <w:rFonts w:ascii="Calibri" w:eastAsia="Calibri" w:hAnsi="Calibri" w:cs="Arial"/>
                <w:bCs/>
                <w:color w:val="000000" w:themeColor="text1"/>
                <w:kern w:val="24"/>
                <w:sz w:val="24"/>
                <w:szCs w:val="32"/>
                <w:lang w:val="en-US" w:eastAsia="pt-BR"/>
              </w:rPr>
              <w:t xml:space="preserve">Inflation rate </w:t>
            </w:r>
          </w:p>
          <w:p w14:paraId="7A1E629D" w14:textId="08686D8C" w:rsidR="00287DF3" w:rsidRPr="00172E83" w:rsidRDefault="00287DF3" w:rsidP="00E037FA">
            <w:pPr>
              <w:spacing w:after="0"/>
              <w:rPr>
                <w:rFonts w:ascii="Calibri" w:eastAsia="Calibri" w:hAnsi="Calibri" w:cs="Arial"/>
                <w:bCs/>
                <w:color w:val="000000" w:themeColor="text1"/>
                <w:kern w:val="24"/>
                <w:sz w:val="24"/>
                <w:szCs w:val="32"/>
                <w:lang w:val="en-US" w:eastAsia="pt-BR"/>
              </w:rPr>
            </w:pPr>
            <w:r w:rsidRPr="00172E83">
              <w:rPr>
                <w:rFonts w:ascii="Calibri" w:eastAsia="Calibri" w:hAnsi="Calibri" w:cs="Arial"/>
                <w:bCs/>
                <w:color w:val="000000" w:themeColor="text1"/>
                <w:kern w:val="24"/>
                <w:sz w:val="24"/>
                <w:szCs w:val="32"/>
                <w:lang w:val="en-US" w:eastAsia="pt-BR"/>
              </w:rPr>
              <w:t xml:space="preserve">    </w:t>
            </w:r>
            <w:r w:rsidRPr="00172E83">
              <w:rPr>
                <w:rFonts w:ascii="Calibri" w:eastAsia="Calibri" w:hAnsi="Calibri" w:cs="Arial"/>
                <w:bCs/>
                <w:i/>
                <w:color w:val="000000" w:themeColor="text1"/>
                <w:kern w:val="24"/>
                <w:sz w:val="24"/>
                <w:szCs w:val="32"/>
                <w:lang w:val="en-US" w:eastAsia="pt-BR"/>
              </w:rPr>
              <w:t>Tools</w:t>
            </w:r>
            <w:r w:rsidRPr="00172E83">
              <w:rPr>
                <w:rFonts w:ascii="Calibri" w:eastAsia="Calibri" w:hAnsi="Calibri" w:cs="Arial"/>
                <w:bCs/>
                <w:color w:val="000000" w:themeColor="text1"/>
                <w:kern w:val="24"/>
                <w:sz w:val="24"/>
                <w:szCs w:val="32"/>
                <w:lang w:val="en-US" w:eastAsia="pt-BR"/>
              </w:rPr>
              <w:t xml:space="preserve">: </w:t>
            </w:r>
          </w:p>
          <w:p w14:paraId="27EBFA9F" w14:textId="3978AC3A" w:rsidR="00536338" w:rsidRPr="00172E83" w:rsidRDefault="00287DF3" w:rsidP="00E037FA">
            <w:pPr>
              <w:spacing w:after="0"/>
              <w:rPr>
                <w:rFonts w:ascii="Calibri" w:eastAsia="Calibri" w:hAnsi="Calibri" w:cs="Arial"/>
                <w:bCs/>
                <w:color w:val="000000" w:themeColor="text1"/>
                <w:kern w:val="24"/>
                <w:sz w:val="24"/>
                <w:szCs w:val="32"/>
                <w:lang w:val="en-US" w:eastAsia="pt-BR"/>
              </w:rPr>
            </w:pPr>
            <w:r w:rsidRPr="00172E83">
              <w:rPr>
                <w:rFonts w:ascii="Calibri" w:eastAsia="Calibri" w:hAnsi="Calibri" w:cs="Arial"/>
                <w:bCs/>
                <w:color w:val="000000" w:themeColor="text1"/>
                <w:kern w:val="24"/>
                <w:sz w:val="24"/>
                <w:szCs w:val="32"/>
                <w:lang w:val="en-US" w:eastAsia="pt-BR"/>
              </w:rPr>
              <w:t xml:space="preserve">         - </w:t>
            </w:r>
            <w:r w:rsidR="00DB6C00" w:rsidRPr="00172E83">
              <w:rPr>
                <w:rFonts w:ascii="Calibri" w:eastAsia="Calibri" w:hAnsi="Calibri" w:cs="Arial"/>
                <w:bCs/>
                <w:color w:val="000000" w:themeColor="text1"/>
                <w:kern w:val="24"/>
                <w:sz w:val="24"/>
                <w:szCs w:val="32"/>
                <w:lang w:val="en-US" w:eastAsia="pt-BR"/>
              </w:rPr>
              <w:t>stabilize n</w:t>
            </w:r>
            <w:r w:rsidRPr="00172E83">
              <w:rPr>
                <w:rFonts w:ascii="Calibri" w:eastAsia="Calibri" w:hAnsi="Calibri" w:cs="Arial"/>
                <w:bCs/>
                <w:color w:val="000000" w:themeColor="text1"/>
                <w:kern w:val="24"/>
                <w:sz w:val="24"/>
                <w:szCs w:val="32"/>
                <w:lang w:val="en-US" w:eastAsia="pt-BR"/>
              </w:rPr>
              <w:t>ominal exchange rate</w:t>
            </w:r>
          </w:p>
          <w:p w14:paraId="35B827FB" w14:textId="2C85297C" w:rsidR="00C877FB" w:rsidRPr="00172E83" w:rsidRDefault="00C877FB" w:rsidP="00C877FB">
            <w:pPr>
              <w:spacing w:after="0" w:line="240" w:lineRule="auto"/>
              <w:rPr>
                <w:rFonts w:ascii="Calibri" w:eastAsia="Calibri" w:hAnsi="Calibri" w:cs="Arial"/>
                <w:bCs/>
                <w:color w:val="000000" w:themeColor="text1"/>
                <w:kern w:val="24"/>
                <w:sz w:val="24"/>
                <w:szCs w:val="32"/>
                <w:lang w:val="en-US" w:eastAsia="pt-BR"/>
              </w:rPr>
            </w:pPr>
            <w:r w:rsidRPr="00172E83">
              <w:rPr>
                <w:rFonts w:ascii="Calibri" w:eastAsia="Calibri" w:hAnsi="Calibri" w:cs="Arial"/>
                <w:b/>
                <w:bCs/>
                <w:color w:val="000000" w:themeColor="text1"/>
                <w:kern w:val="24"/>
                <w:sz w:val="24"/>
                <w:szCs w:val="32"/>
                <w:lang w:val="en-US" w:eastAsia="pt-BR"/>
              </w:rPr>
              <w:t xml:space="preserve">         </w:t>
            </w:r>
            <w:r w:rsidR="00287DF3" w:rsidRPr="00172E83">
              <w:rPr>
                <w:rFonts w:ascii="Calibri" w:eastAsia="Calibri" w:hAnsi="Calibri" w:cs="Arial"/>
                <w:b/>
                <w:bCs/>
                <w:color w:val="000000" w:themeColor="text1"/>
                <w:kern w:val="24"/>
                <w:sz w:val="24"/>
                <w:szCs w:val="32"/>
                <w:lang w:val="en-US" w:eastAsia="pt-BR"/>
              </w:rPr>
              <w:t xml:space="preserve">- </w:t>
            </w:r>
            <w:r w:rsidRPr="00172E83">
              <w:rPr>
                <w:rFonts w:ascii="Calibri" w:eastAsia="Calibri" w:hAnsi="Calibri" w:cs="Arial"/>
                <w:bCs/>
                <w:color w:val="000000" w:themeColor="text1"/>
                <w:kern w:val="24"/>
                <w:sz w:val="24"/>
                <w:szCs w:val="32"/>
                <w:lang w:val="en-US" w:eastAsia="pt-BR"/>
              </w:rPr>
              <w:t xml:space="preserve">CARs </w:t>
            </w:r>
          </w:p>
          <w:p w14:paraId="352CB9DB" w14:textId="0792E875" w:rsidR="00D4398D" w:rsidRPr="00172E83" w:rsidRDefault="00C877FB" w:rsidP="00C877FB">
            <w:pPr>
              <w:spacing w:after="0" w:line="240" w:lineRule="auto"/>
              <w:rPr>
                <w:rFonts w:ascii="Calibri" w:eastAsia="Calibri" w:hAnsi="Calibri" w:cs="Arial"/>
                <w:bCs/>
                <w:color w:val="000000" w:themeColor="text1"/>
                <w:kern w:val="24"/>
                <w:szCs w:val="32"/>
                <w:lang w:val="en-US" w:eastAsia="pt-BR"/>
              </w:rPr>
            </w:pPr>
            <w:r w:rsidRPr="00172E83">
              <w:rPr>
                <w:rFonts w:ascii="Calibri" w:eastAsia="Calibri" w:hAnsi="Calibri" w:cs="Arial"/>
                <w:bCs/>
                <w:color w:val="000000" w:themeColor="text1"/>
                <w:kern w:val="24"/>
                <w:szCs w:val="32"/>
                <w:lang w:val="en-US" w:eastAsia="pt-BR"/>
              </w:rPr>
              <w:t xml:space="preserve"> </w:t>
            </w:r>
            <w:r w:rsidR="00287DF3" w:rsidRPr="00172E83">
              <w:rPr>
                <w:rFonts w:ascii="Calibri" w:eastAsia="Calibri" w:hAnsi="Calibri" w:cs="Arial"/>
                <w:bCs/>
                <w:color w:val="000000" w:themeColor="text1"/>
                <w:kern w:val="24"/>
                <w:szCs w:val="32"/>
                <w:lang w:val="en-US" w:eastAsia="pt-BR"/>
              </w:rPr>
              <w:t xml:space="preserve">           </w:t>
            </w:r>
          </w:p>
          <w:p w14:paraId="0D37C132" w14:textId="77777777" w:rsidR="00D4398D" w:rsidRPr="00172E83" w:rsidRDefault="00D4398D" w:rsidP="00C877FB">
            <w:pPr>
              <w:spacing w:after="0" w:line="240" w:lineRule="auto"/>
              <w:rPr>
                <w:rFonts w:ascii="Calibri" w:eastAsia="Calibri" w:hAnsi="Calibri" w:cs="Arial"/>
                <w:bCs/>
                <w:color w:val="000000" w:themeColor="text1"/>
                <w:kern w:val="24"/>
                <w:szCs w:val="32"/>
                <w:lang w:val="en-US" w:eastAsia="pt-BR"/>
              </w:rPr>
            </w:pPr>
            <w:r w:rsidRPr="00172E83">
              <w:rPr>
                <w:rFonts w:ascii="Calibri" w:eastAsia="Calibri" w:hAnsi="Calibri" w:cs="Arial"/>
                <w:bCs/>
                <w:color w:val="000000" w:themeColor="text1"/>
                <w:kern w:val="24"/>
                <w:szCs w:val="32"/>
                <w:lang w:val="en-US" w:eastAsia="pt-BR"/>
              </w:rPr>
              <w:t xml:space="preserve">            </w:t>
            </w:r>
          </w:p>
          <w:p w14:paraId="5A292048" w14:textId="77777777" w:rsidR="00D4398D" w:rsidRPr="00172E83" w:rsidRDefault="00D4398D" w:rsidP="00C877FB">
            <w:pPr>
              <w:spacing w:after="0" w:line="240" w:lineRule="auto"/>
              <w:rPr>
                <w:rFonts w:ascii="Calibri" w:eastAsia="Calibri" w:hAnsi="Calibri" w:cs="Arial"/>
                <w:bCs/>
                <w:color w:val="000000" w:themeColor="text1"/>
                <w:kern w:val="24"/>
                <w:szCs w:val="32"/>
                <w:lang w:val="en-US" w:eastAsia="pt-BR"/>
              </w:rPr>
            </w:pPr>
            <w:r w:rsidRPr="00172E83">
              <w:rPr>
                <w:rFonts w:ascii="Calibri" w:eastAsia="Calibri" w:hAnsi="Calibri" w:cs="Arial"/>
                <w:bCs/>
                <w:color w:val="000000" w:themeColor="text1"/>
                <w:kern w:val="24"/>
                <w:szCs w:val="32"/>
                <w:lang w:val="en-US" w:eastAsia="pt-BR"/>
              </w:rPr>
              <w:t xml:space="preserve">             </w:t>
            </w:r>
          </w:p>
          <w:p w14:paraId="2DF35D51" w14:textId="686E0EFE" w:rsidR="00C877FB" w:rsidRPr="00172E83" w:rsidRDefault="00D4398D" w:rsidP="00C877FB">
            <w:pPr>
              <w:spacing w:after="0" w:line="240" w:lineRule="auto"/>
              <w:rPr>
                <w:rFonts w:ascii="Calibri" w:eastAsia="Calibri" w:hAnsi="Calibri" w:cs="Arial"/>
                <w:b/>
                <w:bCs/>
                <w:color w:val="000000" w:themeColor="text1"/>
                <w:kern w:val="24"/>
                <w:sz w:val="24"/>
                <w:szCs w:val="32"/>
                <w:lang w:val="en-US" w:eastAsia="pt-BR"/>
              </w:rPr>
            </w:pPr>
            <w:r w:rsidRPr="00172E83">
              <w:rPr>
                <w:rFonts w:ascii="Calibri" w:eastAsia="Calibri" w:hAnsi="Calibri" w:cs="Arial"/>
                <w:bCs/>
                <w:color w:val="000000" w:themeColor="text1"/>
                <w:kern w:val="24"/>
                <w:szCs w:val="32"/>
                <w:lang w:val="en-US" w:eastAsia="pt-BR"/>
              </w:rPr>
              <w:t xml:space="preserve">             </w:t>
            </w:r>
            <w:r w:rsidR="00C877FB" w:rsidRPr="00172E83">
              <w:rPr>
                <w:rFonts w:ascii="Calibri" w:eastAsia="Calibri" w:hAnsi="Calibri" w:cs="Arial"/>
                <w:bCs/>
                <w:i/>
                <w:color w:val="000000" w:themeColor="text1"/>
                <w:kern w:val="24"/>
                <w:szCs w:val="32"/>
                <w:lang w:val="en-US" w:eastAsia="pt-BR"/>
              </w:rPr>
              <w:t>Aim</w:t>
            </w:r>
            <w:r w:rsidR="00287DF3" w:rsidRPr="00172E83">
              <w:rPr>
                <w:rFonts w:ascii="Calibri" w:eastAsia="Calibri" w:hAnsi="Calibri" w:cs="Arial"/>
                <w:bCs/>
                <w:color w:val="000000" w:themeColor="text1"/>
                <w:kern w:val="24"/>
                <w:szCs w:val="32"/>
                <w:lang w:val="en-US" w:eastAsia="pt-BR"/>
              </w:rPr>
              <w:t xml:space="preserve">: </w:t>
            </w:r>
            <w:r w:rsidR="00287DF3" w:rsidRPr="00172E83">
              <w:rPr>
                <w:rFonts w:ascii="Calibri" w:eastAsia="Calibri" w:hAnsi="Calibri" w:cs="Arial"/>
                <w:bCs/>
                <w:color w:val="000000" w:themeColor="text1"/>
                <w:kern w:val="24"/>
                <w:sz w:val="24"/>
                <w:szCs w:val="32"/>
                <w:lang w:val="en-US" w:eastAsia="pt-BR"/>
              </w:rPr>
              <w:t xml:space="preserve">maturity prolongation; </w:t>
            </w:r>
            <w:r w:rsidR="00287DF3" w:rsidRPr="00172E83">
              <w:rPr>
                <w:rFonts w:ascii="Calibri" w:eastAsia="Calibri" w:hAnsi="Calibri" w:cs="Arial"/>
                <w:bCs/>
                <w:color w:val="000000" w:themeColor="text1"/>
                <w:kern w:val="24"/>
                <w:sz w:val="24"/>
                <w:szCs w:val="32"/>
                <w:lang w:val="en-US" w:eastAsia="pt-BR"/>
              </w:rPr>
              <w:br/>
              <w:t xml:space="preserve">                  </w:t>
            </w:r>
            <w:r w:rsidRPr="00172E83">
              <w:rPr>
                <w:rFonts w:ascii="Calibri" w:eastAsia="Calibri" w:hAnsi="Calibri" w:cs="Arial"/>
                <w:bCs/>
                <w:color w:val="000000" w:themeColor="text1"/>
                <w:kern w:val="24"/>
                <w:sz w:val="24"/>
                <w:szCs w:val="32"/>
                <w:lang w:val="en-US" w:eastAsia="pt-BR"/>
              </w:rPr>
              <w:t xml:space="preserve"> </w:t>
            </w:r>
            <w:r w:rsidR="00287DF3" w:rsidRPr="00172E83">
              <w:rPr>
                <w:rFonts w:ascii="Calibri" w:eastAsia="Calibri" w:hAnsi="Calibri" w:cs="Arial"/>
                <w:bCs/>
                <w:color w:val="000000" w:themeColor="text1"/>
                <w:kern w:val="24"/>
                <w:sz w:val="24"/>
                <w:szCs w:val="32"/>
                <w:lang w:val="en-US" w:eastAsia="pt-BR"/>
              </w:rPr>
              <w:t xml:space="preserve"> sporadically, volume reduction</w:t>
            </w:r>
          </w:p>
          <w:p w14:paraId="5523F089" w14:textId="64837120" w:rsidR="00C877FB" w:rsidRPr="00172E83" w:rsidRDefault="00C877FB" w:rsidP="00C877FB">
            <w:pPr>
              <w:spacing w:after="0" w:line="300" w:lineRule="exact"/>
              <w:rPr>
                <w:rFonts w:ascii="Calibri" w:eastAsia="Calibri" w:hAnsi="Calibri" w:cs="Arial"/>
                <w:bCs/>
                <w:color w:val="000000" w:themeColor="text1"/>
                <w:kern w:val="24"/>
                <w:sz w:val="24"/>
                <w:szCs w:val="32"/>
                <w:lang w:val="en-US" w:eastAsia="pt-BR"/>
              </w:rPr>
            </w:pPr>
            <w:r w:rsidRPr="00172E83">
              <w:rPr>
                <w:rFonts w:ascii="Calibri" w:eastAsia="Calibri" w:hAnsi="Calibri" w:cs="Arial"/>
                <w:bCs/>
                <w:i/>
                <w:color w:val="000000" w:themeColor="text1"/>
                <w:kern w:val="24"/>
                <w:sz w:val="24"/>
                <w:szCs w:val="32"/>
                <w:lang w:val="en-US" w:eastAsia="pt-BR"/>
              </w:rPr>
              <w:t xml:space="preserve">   </w:t>
            </w:r>
            <w:r w:rsidR="00287DF3" w:rsidRPr="00172E83">
              <w:rPr>
                <w:rFonts w:ascii="Calibri" w:eastAsia="Calibri" w:hAnsi="Calibri" w:cs="Arial"/>
                <w:bCs/>
                <w:i/>
                <w:color w:val="000000" w:themeColor="text1"/>
                <w:kern w:val="24"/>
                <w:sz w:val="24"/>
                <w:szCs w:val="32"/>
                <w:lang w:val="en-US" w:eastAsia="pt-BR"/>
              </w:rPr>
              <w:t xml:space="preserve">        </w:t>
            </w:r>
            <w:r w:rsidRPr="00172E83">
              <w:rPr>
                <w:rFonts w:ascii="Calibri" w:eastAsia="Calibri" w:hAnsi="Calibri" w:cs="Arial"/>
                <w:bCs/>
                <w:i/>
                <w:color w:val="000000" w:themeColor="text1"/>
                <w:kern w:val="24"/>
                <w:sz w:val="24"/>
                <w:szCs w:val="32"/>
                <w:lang w:val="en-US" w:eastAsia="pt-BR"/>
              </w:rPr>
              <w:t>Target</w:t>
            </w:r>
            <w:r w:rsidR="00287DF3" w:rsidRPr="00172E83">
              <w:rPr>
                <w:rFonts w:ascii="Calibri" w:eastAsia="Calibri" w:hAnsi="Calibri" w:cs="Arial"/>
                <w:bCs/>
                <w:color w:val="000000" w:themeColor="text1"/>
                <w:kern w:val="24"/>
                <w:sz w:val="24"/>
                <w:szCs w:val="32"/>
                <w:lang w:val="en-US" w:eastAsia="pt-BR"/>
              </w:rPr>
              <w:t xml:space="preserve">: capital flow maturity </w:t>
            </w:r>
          </w:p>
          <w:p w14:paraId="54317790" w14:textId="597A4A63" w:rsidR="00287DF3" w:rsidRPr="00172E83" w:rsidRDefault="00287DF3" w:rsidP="00C877FB">
            <w:pPr>
              <w:spacing w:after="0" w:line="300" w:lineRule="exact"/>
              <w:rPr>
                <w:rFonts w:ascii="Calibri" w:eastAsia="Calibri" w:hAnsi="Calibri" w:cs="Arial"/>
                <w:bCs/>
                <w:color w:val="000000" w:themeColor="text1"/>
                <w:kern w:val="24"/>
                <w:sz w:val="24"/>
                <w:szCs w:val="32"/>
                <w:lang w:val="en-US" w:eastAsia="pt-BR"/>
              </w:rPr>
            </w:pPr>
            <w:r w:rsidRPr="00172E83">
              <w:rPr>
                <w:rFonts w:ascii="Calibri" w:eastAsia="Calibri" w:hAnsi="Calibri" w:cs="Arial"/>
                <w:bCs/>
                <w:color w:val="000000" w:themeColor="text1"/>
                <w:kern w:val="24"/>
                <w:sz w:val="24"/>
                <w:szCs w:val="32"/>
                <w:lang w:val="en-US" w:eastAsia="pt-BR"/>
              </w:rPr>
              <w:t xml:space="preserve">           </w:t>
            </w:r>
            <w:r w:rsidR="00C877FB" w:rsidRPr="00172E83">
              <w:rPr>
                <w:rFonts w:ascii="Calibri" w:eastAsia="Calibri" w:hAnsi="Calibri" w:cs="Arial"/>
                <w:bCs/>
                <w:i/>
                <w:color w:val="000000" w:themeColor="text1"/>
                <w:kern w:val="24"/>
                <w:sz w:val="24"/>
                <w:szCs w:val="32"/>
                <w:lang w:val="en-US" w:eastAsia="pt-BR"/>
              </w:rPr>
              <w:t>Tool</w:t>
            </w:r>
            <w:r w:rsidR="00D4398D" w:rsidRPr="00172E83">
              <w:rPr>
                <w:rFonts w:ascii="Calibri" w:eastAsia="Calibri" w:hAnsi="Calibri" w:cs="Arial"/>
                <w:bCs/>
                <w:i/>
                <w:color w:val="000000" w:themeColor="text1"/>
                <w:kern w:val="24"/>
                <w:sz w:val="24"/>
                <w:szCs w:val="32"/>
                <w:lang w:val="en-US" w:eastAsia="pt-BR"/>
              </w:rPr>
              <w:t>s</w:t>
            </w:r>
            <w:r w:rsidRPr="00172E83">
              <w:rPr>
                <w:rFonts w:ascii="Calibri" w:eastAsia="Calibri" w:hAnsi="Calibri" w:cs="Arial"/>
                <w:bCs/>
                <w:color w:val="000000" w:themeColor="text1"/>
                <w:kern w:val="24"/>
                <w:sz w:val="24"/>
                <w:szCs w:val="32"/>
                <w:lang w:val="en-US" w:eastAsia="pt-BR"/>
              </w:rPr>
              <w:t>: price-based capital controls (financial tax);</w:t>
            </w:r>
          </w:p>
          <w:p w14:paraId="22FA76E9" w14:textId="61F05FC6" w:rsidR="006718F9" w:rsidRPr="00172E83" w:rsidRDefault="00287DF3" w:rsidP="00C877FB">
            <w:pPr>
              <w:spacing w:after="0" w:line="300" w:lineRule="exact"/>
              <w:rPr>
                <w:rFonts w:ascii="Calibri" w:eastAsia="Calibri" w:hAnsi="Calibri" w:cs="Arial"/>
                <w:bCs/>
                <w:color w:val="000000" w:themeColor="text1"/>
                <w:kern w:val="24"/>
                <w:sz w:val="24"/>
                <w:szCs w:val="32"/>
                <w:lang w:val="en-US" w:eastAsia="pt-BR"/>
              </w:rPr>
            </w:pPr>
            <w:r w:rsidRPr="00172E83">
              <w:rPr>
                <w:rFonts w:ascii="Calibri" w:eastAsia="Calibri" w:hAnsi="Calibri" w:cs="Arial"/>
                <w:bCs/>
                <w:color w:val="000000" w:themeColor="text1"/>
                <w:kern w:val="24"/>
                <w:sz w:val="24"/>
                <w:szCs w:val="32"/>
                <w:lang w:val="en-US" w:eastAsia="pt-BR"/>
              </w:rPr>
              <w:t xml:space="preserve">                    administrative controls</w:t>
            </w:r>
          </w:p>
          <w:p w14:paraId="4BDBE279" w14:textId="755E5915" w:rsidR="006718F9" w:rsidRPr="00172E83" w:rsidRDefault="006718F9" w:rsidP="00E037FA">
            <w:pPr>
              <w:spacing w:after="0"/>
              <w:rPr>
                <w:rFonts w:ascii="Arial" w:eastAsia="Times New Roman" w:hAnsi="Arial" w:cs="Arial"/>
                <w:color w:val="000000" w:themeColor="text1"/>
                <w:sz w:val="24"/>
                <w:szCs w:val="36"/>
                <w:lang w:val="en-US" w:eastAsia="pt-BR"/>
              </w:rPr>
            </w:pPr>
          </w:p>
        </w:tc>
        <w:tc>
          <w:tcPr>
            <w:tcW w:w="4252" w:type="dxa"/>
            <w:tcBorders>
              <w:top w:val="single" w:sz="24" w:space="0" w:color="FFFFFF"/>
              <w:left w:val="single" w:sz="8" w:space="0" w:color="FFFFFF"/>
              <w:bottom w:val="single" w:sz="8" w:space="0" w:color="FFFFFF"/>
              <w:right w:val="single" w:sz="8" w:space="0" w:color="FFFFFF"/>
            </w:tcBorders>
            <w:shd w:val="clear" w:color="auto" w:fill="BFBFBF" w:themeFill="background1" w:themeFillShade="BF"/>
            <w:tcMar>
              <w:top w:w="15" w:type="dxa"/>
              <w:left w:w="108" w:type="dxa"/>
              <w:bottom w:w="0" w:type="dxa"/>
              <w:right w:w="108" w:type="dxa"/>
            </w:tcMar>
          </w:tcPr>
          <w:p w14:paraId="0DC1D34B" w14:textId="76CFB623" w:rsidR="00287DF3" w:rsidRPr="00172E83" w:rsidRDefault="00287DF3" w:rsidP="00287DF3">
            <w:pPr>
              <w:spacing w:after="0"/>
              <w:rPr>
                <w:rFonts w:ascii="Arial" w:eastAsia="Times New Roman" w:hAnsi="Arial" w:cs="Arial"/>
                <w:color w:val="000000" w:themeColor="text1"/>
                <w:sz w:val="24"/>
                <w:szCs w:val="36"/>
                <w:lang w:val="en-US" w:eastAsia="pt-BR"/>
              </w:rPr>
            </w:pPr>
            <w:r w:rsidRPr="00172E83">
              <w:rPr>
                <w:rFonts w:ascii="Calibri" w:eastAsia="Calibri" w:hAnsi="Calibri" w:cs="Arial"/>
                <w:b/>
                <w:bCs/>
                <w:color w:val="000000" w:themeColor="text1"/>
                <w:kern w:val="24"/>
                <w:sz w:val="24"/>
                <w:szCs w:val="32"/>
                <w:lang w:val="en-US" w:eastAsia="pt-BR"/>
              </w:rPr>
              <w:t xml:space="preserve">Institutions </w:t>
            </w:r>
          </w:p>
          <w:p w14:paraId="6940F4E2" w14:textId="77777777" w:rsidR="00FC7E63" w:rsidRPr="00172E83" w:rsidRDefault="00FC7E63" w:rsidP="00287DF3">
            <w:pPr>
              <w:spacing w:after="0"/>
              <w:rPr>
                <w:rFonts w:ascii="Calibri" w:eastAsia="Calibri" w:hAnsi="Calibri" w:cs="Arial"/>
                <w:bCs/>
                <w:i/>
                <w:color w:val="000000" w:themeColor="text1"/>
                <w:kern w:val="24"/>
                <w:sz w:val="24"/>
                <w:szCs w:val="32"/>
                <w:lang w:val="en-US" w:eastAsia="pt-BR"/>
              </w:rPr>
            </w:pPr>
          </w:p>
          <w:p w14:paraId="09D99199" w14:textId="77777777" w:rsidR="004326A5" w:rsidRPr="00172E83" w:rsidRDefault="004326A5" w:rsidP="00287DF3">
            <w:pPr>
              <w:spacing w:after="0"/>
              <w:rPr>
                <w:rFonts w:ascii="Calibri" w:eastAsia="Calibri" w:hAnsi="Calibri" w:cs="Arial"/>
                <w:bCs/>
                <w:i/>
                <w:color w:val="000000" w:themeColor="text1"/>
                <w:kern w:val="24"/>
                <w:sz w:val="24"/>
                <w:szCs w:val="32"/>
                <w:lang w:val="en-US" w:eastAsia="pt-BR"/>
              </w:rPr>
            </w:pPr>
          </w:p>
          <w:p w14:paraId="5F7A84F7" w14:textId="77777777" w:rsidR="00D65F30" w:rsidRPr="00172E83" w:rsidRDefault="00D65F30" w:rsidP="00287DF3">
            <w:pPr>
              <w:spacing w:after="0"/>
              <w:rPr>
                <w:rFonts w:ascii="Calibri" w:eastAsia="Calibri" w:hAnsi="Calibri" w:cs="Arial"/>
                <w:bCs/>
                <w:i/>
                <w:color w:val="000000" w:themeColor="text1"/>
                <w:kern w:val="24"/>
                <w:sz w:val="24"/>
                <w:szCs w:val="32"/>
                <w:lang w:val="en-US" w:eastAsia="pt-BR"/>
              </w:rPr>
            </w:pPr>
          </w:p>
          <w:p w14:paraId="4F135EE8" w14:textId="77777777" w:rsidR="00D4398D" w:rsidRPr="00172E83" w:rsidRDefault="00D4398D" w:rsidP="004326A5">
            <w:pPr>
              <w:spacing w:after="0"/>
              <w:rPr>
                <w:rFonts w:ascii="Calibri" w:eastAsia="Calibri" w:hAnsi="Calibri" w:cs="Arial"/>
                <w:bCs/>
                <w:i/>
                <w:color w:val="000000" w:themeColor="text1"/>
                <w:kern w:val="24"/>
                <w:sz w:val="24"/>
                <w:szCs w:val="32"/>
                <w:lang w:val="en-US" w:eastAsia="pt-BR"/>
              </w:rPr>
            </w:pPr>
          </w:p>
          <w:p w14:paraId="4B588710" w14:textId="77777777" w:rsidR="00D4398D" w:rsidRPr="00172E83" w:rsidRDefault="00D4398D" w:rsidP="004326A5">
            <w:pPr>
              <w:spacing w:after="0"/>
              <w:rPr>
                <w:rFonts w:ascii="Calibri" w:eastAsia="Calibri" w:hAnsi="Calibri" w:cs="Arial"/>
                <w:bCs/>
                <w:i/>
                <w:color w:val="000000" w:themeColor="text1"/>
                <w:kern w:val="24"/>
                <w:sz w:val="24"/>
                <w:szCs w:val="32"/>
                <w:lang w:val="en-US" w:eastAsia="pt-BR"/>
              </w:rPr>
            </w:pPr>
          </w:p>
          <w:p w14:paraId="29E6EFCF" w14:textId="59408577" w:rsidR="00D65F30" w:rsidRPr="00172E83" w:rsidRDefault="00D4398D" w:rsidP="004326A5">
            <w:pPr>
              <w:spacing w:after="0"/>
              <w:rPr>
                <w:rFonts w:ascii="Segoe UI" w:eastAsia="Times New Roman" w:hAnsi="Segoe UI" w:cs="Segoe UI"/>
                <w:bCs/>
                <w:color w:val="000000" w:themeColor="text1"/>
                <w:kern w:val="24"/>
                <w:sz w:val="24"/>
                <w:szCs w:val="36"/>
                <w:lang w:val="en-US" w:eastAsia="pt-BR"/>
              </w:rPr>
            </w:pPr>
            <w:r w:rsidRPr="00172E83">
              <w:rPr>
                <w:rFonts w:ascii="Calibri" w:eastAsia="Calibri" w:hAnsi="Calibri" w:cs="Arial"/>
                <w:bCs/>
                <w:i/>
                <w:color w:val="000000" w:themeColor="text1"/>
                <w:kern w:val="24"/>
                <w:sz w:val="24"/>
                <w:szCs w:val="32"/>
                <w:lang w:val="en-US" w:eastAsia="pt-BR"/>
              </w:rPr>
              <w:t xml:space="preserve">- </w:t>
            </w:r>
            <w:r w:rsidR="00287DF3" w:rsidRPr="00172E83">
              <w:rPr>
                <w:rFonts w:ascii="Calibri" w:eastAsia="Calibri" w:hAnsi="Calibri" w:cs="Arial"/>
                <w:b/>
                <w:bCs/>
                <w:i/>
                <w:color w:val="000000" w:themeColor="text1"/>
                <w:kern w:val="24"/>
                <w:sz w:val="24"/>
                <w:szCs w:val="32"/>
                <w:lang w:val="en-US" w:eastAsia="pt-BR"/>
              </w:rPr>
              <w:t>Financial openness</w:t>
            </w:r>
            <w:r w:rsidR="00287DF3" w:rsidRPr="00172E83">
              <w:rPr>
                <w:rFonts w:ascii="Segoe UI" w:eastAsia="Times New Roman" w:hAnsi="Segoe UI" w:cs="Segoe UI"/>
                <w:bCs/>
                <w:color w:val="000000" w:themeColor="text1"/>
                <w:kern w:val="24"/>
                <w:sz w:val="24"/>
                <w:szCs w:val="36"/>
                <w:lang w:val="en-US" w:eastAsia="pt-BR"/>
              </w:rPr>
              <w:t xml:space="preserve">: </w:t>
            </w:r>
            <w:r w:rsidR="00287DF3" w:rsidRPr="00172E83">
              <w:rPr>
                <w:rFonts w:ascii="Calibri" w:eastAsia="Calibri" w:hAnsi="Calibri" w:cs="Arial"/>
                <w:bCs/>
                <w:color w:val="000000" w:themeColor="text1"/>
                <w:kern w:val="24"/>
                <w:sz w:val="24"/>
                <w:szCs w:val="32"/>
                <w:lang w:val="en-US" w:eastAsia="pt-BR"/>
              </w:rPr>
              <w:t xml:space="preserve">middle to high </w:t>
            </w:r>
          </w:p>
          <w:p w14:paraId="1E4259B7" w14:textId="77777777" w:rsidR="00D4398D" w:rsidRPr="00172E83" w:rsidRDefault="00D4398D" w:rsidP="00D65F30">
            <w:pPr>
              <w:spacing w:after="0"/>
              <w:rPr>
                <w:rFonts w:ascii="Calibri" w:eastAsia="Calibri" w:hAnsi="Calibri" w:cs="Arial"/>
                <w:bCs/>
                <w:i/>
                <w:color w:val="000000" w:themeColor="text1"/>
                <w:kern w:val="24"/>
                <w:sz w:val="24"/>
                <w:szCs w:val="32"/>
                <w:lang w:val="en-US" w:eastAsia="pt-BR"/>
              </w:rPr>
            </w:pPr>
          </w:p>
          <w:p w14:paraId="31EE660A" w14:textId="1B4D1E31" w:rsidR="00D65F30" w:rsidRPr="00172E83" w:rsidRDefault="00D4398D" w:rsidP="00D65F30">
            <w:pPr>
              <w:spacing w:after="0"/>
              <w:rPr>
                <w:rFonts w:ascii="Arial" w:eastAsia="Times New Roman" w:hAnsi="Arial" w:cs="Arial"/>
                <w:color w:val="000000" w:themeColor="text1"/>
                <w:sz w:val="24"/>
                <w:szCs w:val="36"/>
                <w:lang w:val="en-US" w:eastAsia="pt-BR"/>
              </w:rPr>
            </w:pPr>
            <w:r w:rsidRPr="00172E83">
              <w:rPr>
                <w:rFonts w:ascii="Calibri" w:eastAsia="Calibri" w:hAnsi="Calibri" w:cs="Arial"/>
                <w:bCs/>
                <w:i/>
                <w:color w:val="000000" w:themeColor="text1"/>
                <w:kern w:val="24"/>
                <w:sz w:val="24"/>
                <w:szCs w:val="32"/>
                <w:lang w:val="en-US" w:eastAsia="pt-BR"/>
              </w:rPr>
              <w:t xml:space="preserve">- </w:t>
            </w:r>
            <w:r w:rsidR="00D65F30" w:rsidRPr="00172E83">
              <w:rPr>
                <w:rFonts w:ascii="Calibri" w:eastAsia="Calibri" w:hAnsi="Calibri" w:cs="Arial"/>
                <w:b/>
                <w:bCs/>
                <w:i/>
                <w:color w:val="000000" w:themeColor="text1"/>
                <w:kern w:val="24"/>
                <w:sz w:val="24"/>
                <w:szCs w:val="32"/>
                <w:lang w:val="en-US" w:eastAsia="pt-BR"/>
              </w:rPr>
              <w:t>Financial market sophistication</w:t>
            </w:r>
            <w:r w:rsidR="00D65F30" w:rsidRPr="00172E83">
              <w:rPr>
                <w:rFonts w:ascii="Calibri" w:eastAsia="Calibri" w:hAnsi="Calibri" w:cs="Arial"/>
                <w:bCs/>
                <w:color w:val="000000" w:themeColor="text1"/>
                <w:kern w:val="24"/>
                <w:sz w:val="24"/>
                <w:szCs w:val="32"/>
                <w:lang w:val="en-US" w:eastAsia="pt-BR"/>
              </w:rPr>
              <w:t>: middle to high (derivatives)</w:t>
            </w:r>
          </w:p>
          <w:p w14:paraId="21CD63CD" w14:textId="77777777" w:rsidR="00D65F30" w:rsidRPr="00172E83" w:rsidRDefault="00D65F30" w:rsidP="00D65F30">
            <w:pPr>
              <w:spacing w:after="0"/>
              <w:rPr>
                <w:rFonts w:ascii="Calibri" w:eastAsia="Calibri" w:hAnsi="Calibri" w:cs="Arial"/>
                <w:bCs/>
                <w:i/>
                <w:color w:val="000000" w:themeColor="text1"/>
                <w:kern w:val="24"/>
                <w:sz w:val="24"/>
                <w:szCs w:val="32"/>
                <w:lang w:val="en-US" w:eastAsia="pt-BR"/>
              </w:rPr>
            </w:pPr>
          </w:p>
          <w:p w14:paraId="509BE8FB" w14:textId="7E72915B" w:rsidR="00D65F30" w:rsidRPr="00172E83" w:rsidRDefault="00D65F30" w:rsidP="004326A5">
            <w:pPr>
              <w:spacing w:after="0"/>
              <w:rPr>
                <w:rFonts w:ascii="Arial" w:eastAsia="Times New Roman" w:hAnsi="Arial" w:cs="Arial"/>
                <w:color w:val="000000" w:themeColor="text1"/>
                <w:sz w:val="24"/>
                <w:szCs w:val="36"/>
                <w:lang w:val="en-US" w:eastAsia="pt-BR"/>
              </w:rPr>
            </w:pPr>
          </w:p>
        </w:tc>
      </w:tr>
    </w:tbl>
    <w:p w14:paraId="211E56F8" w14:textId="77777777" w:rsidR="00FB0CD9" w:rsidRPr="00172E83" w:rsidRDefault="00EF54C6" w:rsidP="00287E84">
      <w:pPr>
        <w:pStyle w:val="Padro"/>
        <w:jc w:val="both"/>
        <w:rPr>
          <w:rFonts w:ascii="Calibri" w:hAnsi="Calibri"/>
          <w:iCs/>
          <w:color w:val="000000" w:themeColor="text1"/>
          <w:sz w:val="22"/>
          <w:szCs w:val="22"/>
          <w:lang w:val="en-US"/>
        </w:rPr>
      </w:pPr>
      <w:r w:rsidRPr="00172E83">
        <w:rPr>
          <w:rFonts w:ascii="Calibri" w:hAnsi="Calibri"/>
          <w:iCs/>
          <w:color w:val="000000" w:themeColor="text1"/>
          <w:sz w:val="22"/>
          <w:szCs w:val="22"/>
          <w:lang w:val="en-US"/>
        </w:rPr>
        <w:t>Source: Authors’ own compilation</w:t>
      </w:r>
    </w:p>
    <w:p w14:paraId="10DF87EE" w14:textId="0717C808" w:rsidR="0008346F" w:rsidRPr="00421706" w:rsidRDefault="0008346F" w:rsidP="0008346F">
      <w:pPr>
        <w:pStyle w:val="berschrift3"/>
        <w:spacing w:after="240"/>
        <w:rPr>
          <w:b/>
          <w:color w:val="000000" w:themeColor="text1"/>
          <w:lang w:val="en-US"/>
        </w:rPr>
      </w:pPr>
      <w:r w:rsidRPr="00421706">
        <w:rPr>
          <w:b/>
          <w:color w:val="000000" w:themeColor="text1"/>
          <w:lang w:val="en-US"/>
        </w:rPr>
        <w:t>4. Capital Account Regulation in Brazil: the case of the 2000s</w:t>
      </w:r>
    </w:p>
    <w:p w14:paraId="28B05CA9" w14:textId="7620924D" w:rsidR="0008346F" w:rsidRPr="00172E83" w:rsidRDefault="006F6A13" w:rsidP="0008346F">
      <w:pPr>
        <w:pStyle w:val="Padro"/>
        <w:tabs>
          <w:tab w:val="left" w:pos="1418"/>
        </w:tabs>
        <w:spacing w:after="0" w:line="360" w:lineRule="auto"/>
        <w:jc w:val="both"/>
        <w:rPr>
          <w:rFonts w:ascii="Calibri" w:hAnsi="Calibri"/>
          <w:color w:val="000000" w:themeColor="text1"/>
          <w:sz w:val="22"/>
          <w:szCs w:val="22"/>
          <w:lang w:val="en-US"/>
        </w:rPr>
      </w:pPr>
      <w:r w:rsidRPr="00172E83">
        <w:rPr>
          <w:rFonts w:ascii="Calibri" w:hAnsi="Calibri" w:cs="Calibri"/>
          <w:color w:val="000000" w:themeColor="text1"/>
          <w:sz w:val="22"/>
          <w:szCs w:val="22"/>
          <w:lang w:val="en-US"/>
        </w:rPr>
        <w:t>As in the last section, we start</w:t>
      </w:r>
      <w:r w:rsidR="0008346F" w:rsidRPr="00172E83">
        <w:rPr>
          <w:rFonts w:ascii="Calibri" w:hAnsi="Calibri" w:cs="Calibri"/>
          <w:color w:val="000000" w:themeColor="text1"/>
          <w:sz w:val="22"/>
          <w:szCs w:val="22"/>
          <w:lang w:val="en-US"/>
        </w:rPr>
        <w:t xml:space="preserve"> with a review of the literature on </w:t>
      </w:r>
      <w:r w:rsidR="0008346F" w:rsidRPr="00172E83">
        <w:rPr>
          <w:rFonts w:ascii="Calibri" w:hAnsi="Calibri"/>
          <w:color w:val="000000" w:themeColor="text1"/>
          <w:sz w:val="22"/>
          <w:szCs w:val="22"/>
          <w:lang w:val="en-GB"/>
        </w:rPr>
        <w:t xml:space="preserve">the CAR </w:t>
      </w:r>
      <w:r w:rsidR="0008346F" w:rsidRPr="00172E83">
        <w:rPr>
          <w:rFonts w:ascii="Calibri" w:hAnsi="Calibri"/>
          <w:color w:val="000000" w:themeColor="text1"/>
          <w:sz w:val="22"/>
          <w:szCs w:val="22"/>
          <w:lang w:val="en-US"/>
        </w:rPr>
        <w:t xml:space="preserve">implemented in </w:t>
      </w:r>
      <w:r w:rsidRPr="00172E83">
        <w:rPr>
          <w:rFonts w:ascii="Calibri" w:hAnsi="Calibri"/>
          <w:color w:val="000000" w:themeColor="text1"/>
          <w:sz w:val="22"/>
          <w:szCs w:val="22"/>
          <w:lang w:val="en-GB"/>
        </w:rPr>
        <w:t>Brazil during the 200</w:t>
      </w:r>
      <w:r w:rsidR="0008346F" w:rsidRPr="00172E83">
        <w:rPr>
          <w:rFonts w:ascii="Calibri" w:hAnsi="Calibri"/>
          <w:color w:val="000000" w:themeColor="text1"/>
          <w:sz w:val="22"/>
          <w:szCs w:val="22"/>
          <w:lang w:val="en-GB"/>
        </w:rPr>
        <w:t>0s</w:t>
      </w:r>
      <w:r w:rsidRPr="00172E83">
        <w:rPr>
          <w:rFonts w:ascii="Calibri" w:hAnsi="Calibri" w:cs="Calibri"/>
          <w:color w:val="000000" w:themeColor="text1"/>
          <w:sz w:val="22"/>
          <w:szCs w:val="22"/>
          <w:lang w:val="en-US"/>
        </w:rPr>
        <w:t xml:space="preserve">, which also </w:t>
      </w:r>
      <w:r w:rsidR="0008346F" w:rsidRPr="00172E83">
        <w:rPr>
          <w:rFonts w:ascii="Calibri" w:hAnsi="Calibri" w:cs="Calibri"/>
          <w:color w:val="000000" w:themeColor="text1"/>
          <w:sz w:val="22"/>
          <w:szCs w:val="22"/>
          <w:lang w:val="en-US"/>
        </w:rPr>
        <w:t>focus on the</w:t>
      </w:r>
      <w:r w:rsidR="0008346F" w:rsidRPr="00172E83">
        <w:rPr>
          <w:rFonts w:ascii="Calibri" w:hAnsi="Calibri"/>
          <w:color w:val="000000" w:themeColor="text1"/>
          <w:sz w:val="22"/>
          <w:szCs w:val="22"/>
          <w:lang w:val="en-GB"/>
        </w:rPr>
        <w:t xml:space="preserve"> effectiveness of this regulation, disregarding the </w:t>
      </w:r>
      <w:r w:rsidR="0008346F" w:rsidRPr="00172E83">
        <w:rPr>
          <w:rFonts w:ascii="Calibri" w:hAnsi="Calibri"/>
          <w:iCs/>
          <w:color w:val="000000" w:themeColor="text1"/>
          <w:sz w:val="22"/>
          <w:szCs w:val="22"/>
          <w:lang w:val="en-US"/>
        </w:rPr>
        <w:t>macroeconomic and institutional contexts</w:t>
      </w:r>
      <w:r w:rsidR="0008346F" w:rsidRPr="00172E83">
        <w:rPr>
          <w:rFonts w:ascii="Calibri" w:hAnsi="Calibri"/>
          <w:color w:val="000000" w:themeColor="text1"/>
          <w:sz w:val="22"/>
          <w:szCs w:val="22"/>
          <w:lang w:val="en-GB"/>
        </w:rPr>
        <w:t xml:space="preserve">. Thereafter, we </w:t>
      </w:r>
      <w:r w:rsidR="0008346F" w:rsidRPr="00172E83">
        <w:rPr>
          <w:rFonts w:ascii="Calibri" w:hAnsi="Calibri"/>
          <w:iCs/>
          <w:color w:val="000000" w:themeColor="text1"/>
          <w:sz w:val="22"/>
          <w:szCs w:val="22"/>
          <w:lang w:val="en-US"/>
        </w:rPr>
        <w:t xml:space="preserve">undertake a qualitative assessment of the design of CAR in such period within </w:t>
      </w:r>
      <w:r w:rsidR="0008346F" w:rsidRPr="00172E83">
        <w:rPr>
          <w:rFonts w:ascii="Calibri" w:hAnsi="Calibri"/>
          <w:color w:val="000000" w:themeColor="text1"/>
          <w:sz w:val="22"/>
          <w:szCs w:val="22"/>
          <w:lang w:val="en-US"/>
        </w:rPr>
        <w:t>the macroeconomic regime in force.</w:t>
      </w:r>
    </w:p>
    <w:p w14:paraId="072B939D" w14:textId="3D2842F7" w:rsidR="006F6A13" w:rsidRPr="00421706" w:rsidRDefault="006F6A13" w:rsidP="006F6A13">
      <w:pPr>
        <w:pStyle w:val="berschrift3"/>
        <w:spacing w:after="240"/>
        <w:rPr>
          <w:b/>
          <w:color w:val="000000" w:themeColor="text1"/>
          <w:lang w:val="en-US"/>
        </w:rPr>
      </w:pPr>
      <w:r w:rsidRPr="00421706">
        <w:rPr>
          <w:b/>
          <w:color w:val="000000" w:themeColor="text1"/>
          <w:lang w:val="en-US"/>
        </w:rPr>
        <w:t>3a. The literature review</w:t>
      </w:r>
    </w:p>
    <w:p w14:paraId="7890058A" w14:textId="77777777" w:rsidR="006F6A13" w:rsidRPr="00172E83" w:rsidRDefault="006F6A13" w:rsidP="006F6A13">
      <w:pPr>
        <w:pStyle w:val="Padro"/>
        <w:spacing w:after="120" w:line="360" w:lineRule="auto"/>
        <w:jc w:val="both"/>
        <w:rPr>
          <w:color w:val="000000" w:themeColor="text1"/>
          <w:lang w:val="en-US"/>
        </w:rPr>
      </w:pPr>
      <w:r w:rsidRPr="00172E83">
        <w:rPr>
          <w:rFonts w:ascii="Calibri" w:hAnsi="Calibri"/>
          <w:color w:val="000000" w:themeColor="text1"/>
          <w:sz w:val="22"/>
          <w:szCs w:val="22"/>
          <w:lang w:val="en-US"/>
        </w:rPr>
        <w:t xml:space="preserve">There are some empirical </w:t>
      </w:r>
      <w:r w:rsidRPr="00172E83">
        <w:rPr>
          <w:rFonts w:ascii="Calibri" w:hAnsi="Calibri"/>
          <w:color w:val="000000" w:themeColor="text1"/>
          <w:sz w:val="22"/>
          <w:szCs w:val="22"/>
          <w:lang w:val="en-GB"/>
        </w:rPr>
        <w:t xml:space="preserve">studies evaluating the effectiveness of the Brazilian CARs and FXDRs over 2009-2012. </w:t>
      </w:r>
      <w:r w:rsidRPr="00172E83">
        <w:rPr>
          <w:rFonts w:ascii="Calibri" w:hAnsi="Calibri"/>
          <w:color w:val="000000" w:themeColor="text1"/>
          <w:sz w:val="22"/>
          <w:szCs w:val="22"/>
          <w:lang w:val="en-US"/>
        </w:rPr>
        <w:t>Based on an econometric model (a GARCH regression), Baumann/Gallagher (2012) have found that the introduction of CAR in Brazil between October 2009 and December 2012 was associated with a shift from short-term to longer-term inflows. They have also found that Brazil’s measures had a lasting impact on the level and volatility of the exchange rate and modestly increased the autonomy of Brazilian monetary policy.</w:t>
      </w:r>
    </w:p>
    <w:p w14:paraId="48316616" w14:textId="77777777" w:rsidR="006F6A13" w:rsidRPr="00172E83" w:rsidRDefault="006F6A13" w:rsidP="006F6A13">
      <w:pPr>
        <w:pStyle w:val="Padro"/>
        <w:spacing w:after="120" w:line="360" w:lineRule="auto"/>
        <w:jc w:val="both"/>
        <w:rPr>
          <w:rFonts w:ascii="Calibri" w:hAnsi="Calibri"/>
          <w:color w:val="000000" w:themeColor="text1"/>
          <w:sz w:val="22"/>
          <w:szCs w:val="22"/>
          <w:lang w:val="en-US"/>
        </w:rPr>
      </w:pPr>
      <w:r w:rsidRPr="00172E83">
        <w:rPr>
          <w:rFonts w:ascii="Calibri" w:hAnsi="Calibri"/>
          <w:color w:val="000000" w:themeColor="text1"/>
          <w:sz w:val="22"/>
          <w:szCs w:val="22"/>
          <w:lang w:val="en-US"/>
        </w:rPr>
        <w:t>Chamon/Garcia (2013) conclude that the controls adopted by the Brazilian government were effective in the sense of creating distortions in the pricing of financial assets, i.e., making the domestic assets more expensive, which is one of the goals of the controls. Therefore, controls were effective in partially segmenting the Brazilian financial market from the international market. However, the controls do not seem to have been effective to deter the appreciation of the BRL when capital inflows were strong, a stated objective of the Brazilian authorities. Yet, the authors stressed that they “cannot rule out, however, that the cumulative effect of the controls strengthened the effect of the large cut of the basic interest rate (Selic), by 5.25bps, in depreciating the BRL since March 2012”</w:t>
      </w:r>
      <w:r w:rsidRPr="00172E83">
        <w:rPr>
          <w:rStyle w:val="Funotenzeichen"/>
          <w:rFonts w:ascii="Calibri" w:hAnsi="Calibri"/>
          <w:color w:val="000000" w:themeColor="text1"/>
          <w:sz w:val="22"/>
          <w:szCs w:val="22"/>
          <w:lang w:val="en-US"/>
        </w:rPr>
        <w:footnoteReference w:id="9"/>
      </w:r>
      <w:r w:rsidRPr="00172E83">
        <w:rPr>
          <w:rFonts w:ascii="Calibri" w:hAnsi="Calibri"/>
          <w:color w:val="000000" w:themeColor="text1"/>
          <w:sz w:val="22"/>
          <w:szCs w:val="22"/>
          <w:lang w:val="en-US"/>
        </w:rPr>
        <w:t>.</w:t>
      </w:r>
    </w:p>
    <w:p w14:paraId="2A2623A6" w14:textId="77777777" w:rsidR="006F6A13" w:rsidRPr="00172E83" w:rsidRDefault="006F6A13" w:rsidP="006F6A13">
      <w:pPr>
        <w:tabs>
          <w:tab w:val="left" w:pos="1418"/>
        </w:tabs>
        <w:spacing w:after="0" w:line="360" w:lineRule="auto"/>
        <w:jc w:val="both"/>
        <w:rPr>
          <w:color w:val="000000" w:themeColor="text1"/>
          <w:lang w:val="en-US"/>
        </w:rPr>
      </w:pPr>
      <w:r w:rsidRPr="00172E83">
        <w:rPr>
          <w:color w:val="000000" w:themeColor="text1"/>
          <w:lang w:val="en-US"/>
        </w:rPr>
        <w:t xml:space="preserve">Finally, Klein (2012) concludes that the Brazilian IOF was an episodic control on the capital inflows that did not temper the appreciation of the Brazilian currency; but the period covered in his study ended in 2010, before the adoption of a broader set of regulation, as detailed in the next section. </w:t>
      </w:r>
    </w:p>
    <w:p w14:paraId="14325FFD" w14:textId="7E6B54B7" w:rsidR="006F6A13" w:rsidRPr="00172E83" w:rsidRDefault="006F6A13" w:rsidP="006F6A13">
      <w:pPr>
        <w:pStyle w:val="Padro"/>
        <w:spacing w:after="0" w:line="240" w:lineRule="auto"/>
        <w:jc w:val="center"/>
        <w:rPr>
          <w:rFonts w:ascii="Calibri" w:hAnsi="Calibri"/>
          <w:b/>
          <w:color w:val="000000" w:themeColor="text1"/>
          <w:sz w:val="22"/>
          <w:szCs w:val="22"/>
          <w:lang w:val="en-GB"/>
        </w:rPr>
      </w:pPr>
      <w:r w:rsidRPr="00172E83">
        <w:rPr>
          <w:rFonts w:ascii="Calibri" w:hAnsi="Calibri"/>
          <w:b/>
          <w:color w:val="000000" w:themeColor="text1"/>
          <w:sz w:val="22"/>
          <w:szCs w:val="22"/>
          <w:lang w:val="en-GB"/>
        </w:rPr>
        <w:t xml:space="preserve">Table 2. Literature survey: </w:t>
      </w:r>
      <w:r w:rsidR="00C665AC">
        <w:rPr>
          <w:rFonts w:ascii="Calibri" w:hAnsi="Calibri"/>
          <w:b/>
          <w:color w:val="000000" w:themeColor="text1"/>
          <w:sz w:val="22"/>
          <w:szCs w:val="22"/>
          <w:lang w:val="en-GB"/>
        </w:rPr>
        <w:t>e</w:t>
      </w:r>
      <w:r w:rsidR="00421706">
        <w:rPr>
          <w:rFonts w:ascii="Calibri" w:hAnsi="Calibri"/>
          <w:b/>
          <w:color w:val="000000" w:themeColor="text1"/>
          <w:sz w:val="22"/>
          <w:szCs w:val="22"/>
          <w:lang w:val="en-GB"/>
        </w:rPr>
        <w:t xml:space="preserve">valuation of effectiveness of </w:t>
      </w:r>
      <w:r w:rsidR="00C665AC">
        <w:rPr>
          <w:rFonts w:ascii="Calibri" w:hAnsi="Calibri"/>
          <w:b/>
          <w:color w:val="000000" w:themeColor="text1"/>
          <w:sz w:val="22"/>
          <w:szCs w:val="22"/>
          <w:lang w:val="en-GB"/>
        </w:rPr>
        <w:t>[2000s] CARs</w:t>
      </w:r>
    </w:p>
    <w:tbl>
      <w:tblPr>
        <w:tblW w:w="0" w:type="auto"/>
        <w:tblInd w:w="720"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firstRow="0" w:lastRow="0" w:firstColumn="0" w:lastColumn="0" w:noHBand="0" w:noVBand="0"/>
      </w:tblPr>
      <w:tblGrid>
        <w:gridCol w:w="2681"/>
        <w:gridCol w:w="1993"/>
        <w:gridCol w:w="2124"/>
        <w:gridCol w:w="1847"/>
      </w:tblGrid>
      <w:tr w:rsidR="00172E83" w:rsidRPr="00172E83" w14:paraId="23D4E68E" w14:textId="77777777" w:rsidTr="00E34C6D">
        <w:tc>
          <w:tcPr>
            <w:tcW w:w="26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B9927BA" w14:textId="77777777" w:rsidR="006F6A13" w:rsidRPr="00172E83" w:rsidRDefault="006F6A13"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eastAsia="Arial Unicode MS" w:hAnsi="Calibri"/>
                <w:b/>
                <w:bCs/>
                <w:color w:val="000000" w:themeColor="text1"/>
                <w:sz w:val="22"/>
                <w:szCs w:val="22"/>
                <w:lang w:val="en-GB"/>
              </w:rPr>
              <w:t xml:space="preserve">Authors  </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D95FAF6" w14:textId="77777777" w:rsidR="006F6A13" w:rsidRPr="00172E83" w:rsidRDefault="006F6A13" w:rsidP="00E34C6D">
            <w:pPr>
              <w:pStyle w:val="Padro"/>
              <w:spacing w:after="0" w:line="100" w:lineRule="atLeast"/>
              <w:jc w:val="both"/>
              <w:textAlignment w:val="baseline"/>
              <w:rPr>
                <w:color w:val="000000" w:themeColor="text1"/>
              </w:rPr>
            </w:pPr>
            <w:r w:rsidRPr="00172E83">
              <w:rPr>
                <w:rFonts w:ascii="Calibri" w:hAnsi="Calibri"/>
                <w:b/>
                <w:bCs/>
                <w:color w:val="000000" w:themeColor="text1"/>
                <w:sz w:val="22"/>
                <w:szCs w:val="22"/>
                <w:lang w:val="en-GB"/>
              </w:rPr>
              <w:t xml:space="preserve">Capital flows </w:t>
            </w:r>
          </w:p>
        </w:tc>
        <w:tc>
          <w:tcPr>
            <w:tcW w:w="21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DC99AE4" w14:textId="77777777" w:rsidR="006F6A13" w:rsidRPr="00172E83" w:rsidRDefault="006F6A13"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eastAsia="Arial Unicode MS" w:hAnsi="Calibri"/>
                <w:b/>
                <w:bCs/>
                <w:color w:val="000000" w:themeColor="text1"/>
                <w:sz w:val="22"/>
                <w:szCs w:val="22"/>
                <w:lang w:val="en-GB"/>
              </w:rPr>
              <w:t>Exchange rate</w:t>
            </w:r>
          </w:p>
        </w:tc>
        <w:tc>
          <w:tcPr>
            <w:tcW w:w="184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A47E97B" w14:textId="77777777" w:rsidR="006F6A13" w:rsidRPr="00172E83" w:rsidRDefault="006F6A13"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eastAsia="Arial Unicode MS" w:hAnsi="Calibri"/>
                <w:b/>
                <w:bCs/>
                <w:color w:val="000000" w:themeColor="text1"/>
                <w:sz w:val="22"/>
                <w:szCs w:val="22"/>
                <w:lang w:val="en-GB"/>
              </w:rPr>
              <w:t xml:space="preserve"> Monetary policy autonomy</w:t>
            </w:r>
          </w:p>
        </w:tc>
      </w:tr>
      <w:tr w:rsidR="00172E83" w:rsidRPr="00172E83" w14:paraId="11DAD3A2" w14:textId="77777777" w:rsidTr="00E34C6D">
        <w:tc>
          <w:tcPr>
            <w:tcW w:w="26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99DAB61" w14:textId="77777777" w:rsidR="006F6A13" w:rsidRPr="00172E83" w:rsidRDefault="006F6A13"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hAnsi="Calibri"/>
                <w:color w:val="000000" w:themeColor="text1"/>
                <w:sz w:val="22"/>
                <w:szCs w:val="22"/>
                <w:lang w:val="en-US"/>
              </w:rPr>
              <w:t>Chamon/Garcia (2013)</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0C48140" w14:textId="77777777" w:rsidR="006F6A13" w:rsidRPr="00172E83" w:rsidRDefault="006F6A13" w:rsidP="00E34C6D">
            <w:pPr>
              <w:pStyle w:val="Padro"/>
              <w:tabs>
                <w:tab w:val="left" w:pos="12960"/>
                <w:tab w:val="left" w:pos="13860"/>
              </w:tabs>
              <w:spacing w:after="0" w:line="100" w:lineRule="atLeast"/>
              <w:jc w:val="both"/>
              <w:textAlignment w:val="baseline"/>
              <w:rPr>
                <w:color w:val="000000" w:themeColor="text1"/>
              </w:rPr>
            </w:pPr>
          </w:p>
        </w:tc>
        <w:tc>
          <w:tcPr>
            <w:tcW w:w="21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D9F6C5C" w14:textId="77777777" w:rsidR="006F6A13" w:rsidRPr="00172E83" w:rsidRDefault="006F6A13" w:rsidP="00E34C6D">
            <w:pPr>
              <w:pStyle w:val="Padro"/>
              <w:tabs>
                <w:tab w:val="left" w:pos="12960"/>
                <w:tab w:val="left" w:pos="13860"/>
              </w:tabs>
              <w:spacing w:after="0" w:line="100" w:lineRule="atLeast"/>
              <w:jc w:val="both"/>
              <w:textAlignment w:val="baseline"/>
              <w:rPr>
                <w:color w:val="000000" w:themeColor="text1"/>
                <w:lang w:val="en-US"/>
              </w:rPr>
            </w:pPr>
            <w:r w:rsidRPr="00172E83">
              <w:rPr>
                <w:rFonts w:ascii="Calibri" w:hAnsi="Calibri"/>
                <w:color w:val="000000" w:themeColor="text1"/>
                <w:sz w:val="22"/>
                <w:szCs w:val="22"/>
                <w:lang w:val="en-GB"/>
              </w:rPr>
              <w:t>No direct impact, but probably indirect</w:t>
            </w:r>
          </w:p>
        </w:tc>
        <w:tc>
          <w:tcPr>
            <w:tcW w:w="184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80CE5DB" w14:textId="77777777" w:rsidR="006F6A13" w:rsidRPr="00172E83" w:rsidRDefault="006F6A13"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hAnsi="Calibri"/>
                <w:color w:val="000000" w:themeColor="text1"/>
                <w:sz w:val="22"/>
                <w:szCs w:val="22"/>
                <w:lang w:val="en-GB"/>
              </w:rPr>
              <w:t xml:space="preserve"> Increased</w:t>
            </w:r>
          </w:p>
        </w:tc>
      </w:tr>
      <w:tr w:rsidR="00172E83" w:rsidRPr="00172E83" w14:paraId="340E0607" w14:textId="77777777" w:rsidTr="00E34C6D">
        <w:tc>
          <w:tcPr>
            <w:tcW w:w="26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2F5B5DC" w14:textId="77777777" w:rsidR="006F6A13" w:rsidRPr="00172E83" w:rsidRDefault="006F6A13"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hAnsi="Calibri"/>
                <w:color w:val="000000" w:themeColor="text1"/>
                <w:sz w:val="22"/>
                <w:szCs w:val="22"/>
                <w:lang w:val="en-US"/>
              </w:rPr>
              <w:t>Baumann/Gallagher (2012)</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74E81C0" w14:textId="77777777" w:rsidR="006F6A13" w:rsidRPr="00172E83" w:rsidRDefault="006F6A13"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eastAsia="Arial Unicode MS" w:hAnsi="Calibri"/>
                <w:bCs/>
                <w:color w:val="000000" w:themeColor="text1"/>
                <w:sz w:val="22"/>
                <w:szCs w:val="22"/>
                <w:lang w:val="en-GB"/>
              </w:rPr>
              <w:t>Lengthens maturity</w:t>
            </w:r>
          </w:p>
        </w:tc>
        <w:tc>
          <w:tcPr>
            <w:tcW w:w="21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9D491DF" w14:textId="77777777" w:rsidR="006F6A13" w:rsidRPr="00172E83" w:rsidRDefault="006F6A13" w:rsidP="00E34C6D">
            <w:pPr>
              <w:pStyle w:val="Padro"/>
              <w:tabs>
                <w:tab w:val="left" w:pos="12960"/>
                <w:tab w:val="left" w:pos="13860"/>
              </w:tabs>
              <w:spacing w:after="0" w:line="100" w:lineRule="atLeast"/>
              <w:jc w:val="both"/>
              <w:textAlignment w:val="baseline"/>
              <w:rPr>
                <w:color w:val="000000" w:themeColor="text1"/>
                <w:lang w:val="en-US"/>
              </w:rPr>
            </w:pPr>
            <w:r w:rsidRPr="00172E83">
              <w:rPr>
                <w:rFonts w:ascii="Calibri" w:hAnsi="Calibri"/>
                <w:color w:val="000000" w:themeColor="text1"/>
                <w:sz w:val="22"/>
                <w:szCs w:val="22"/>
                <w:lang w:val="en-US"/>
              </w:rPr>
              <w:t xml:space="preserve">Lasting (but small) impact on the level and volatility </w:t>
            </w:r>
          </w:p>
        </w:tc>
        <w:tc>
          <w:tcPr>
            <w:tcW w:w="184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AECD9E1" w14:textId="77777777" w:rsidR="006F6A13" w:rsidRPr="00172E83" w:rsidRDefault="006F6A13"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hAnsi="Calibri"/>
                <w:color w:val="000000" w:themeColor="text1"/>
                <w:sz w:val="22"/>
                <w:szCs w:val="22"/>
                <w:lang w:val="en-US"/>
              </w:rPr>
              <w:t>Modestly</w:t>
            </w:r>
          </w:p>
          <w:p w14:paraId="3B6F3341" w14:textId="77777777" w:rsidR="006F6A13" w:rsidRPr="00172E83" w:rsidRDefault="006F6A13"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hAnsi="Calibri"/>
                <w:color w:val="000000" w:themeColor="text1"/>
                <w:sz w:val="22"/>
                <w:szCs w:val="22"/>
                <w:lang w:val="en-US"/>
              </w:rPr>
              <w:t xml:space="preserve"> increased </w:t>
            </w:r>
          </w:p>
        </w:tc>
      </w:tr>
      <w:tr w:rsidR="00172E83" w:rsidRPr="00172E83" w14:paraId="616A22E5" w14:textId="77777777" w:rsidTr="00E34C6D">
        <w:tc>
          <w:tcPr>
            <w:tcW w:w="26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90A03FA" w14:textId="77777777" w:rsidR="006F6A13" w:rsidRPr="00172E83" w:rsidRDefault="006F6A13"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hAnsi="Calibri"/>
                <w:color w:val="000000" w:themeColor="text1"/>
                <w:sz w:val="22"/>
                <w:szCs w:val="22"/>
                <w:lang w:val="en-US"/>
              </w:rPr>
              <w:t>Klein (2012)</w:t>
            </w:r>
          </w:p>
        </w:tc>
        <w:tc>
          <w:tcPr>
            <w:tcW w:w="1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0474199" w14:textId="77777777" w:rsidR="006F6A13" w:rsidRPr="00172E83" w:rsidRDefault="006F6A13" w:rsidP="00E34C6D">
            <w:pPr>
              <w:pStyle w:val="Padro"/>
              <w:tabs>
                <w:tab w:val="left" w:pos="12960"/>
                <w:tab w:val="left" w:pos="13860"/>
              </w:tabs>
              <w:spacing w:after="0" w:line="100" w:lineRule="atLeast"/>
              <w:jc w:val="both"/>
              <w:textAlignment w:val="baseline"/>
              <w:rPr>
                <w:color w:val="000000" w:themeColor="text1"/>
              </w:rPr>
            </w:pPr>
          </w:p>
        </w:tc>
        <w:tc>
          <w:tcPr>
            <w:tcW w:w="21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8AC51C4" w14:textId="77777777" w:rsidR="006F6A13" w:rsidRPr="00172E83" w:rsidRDefault="006F6A13" w:rsidP="00E34C6D">
            <w:pPr>
              <w:pStyle w:val="Padro"/>
              <w:tabs>
                <w:tab w:val="left" w:pos="12960"/>
                <w:tab w:val="left" w:pos="13860"/>
              </w:tabs>
              <w:spacing w:after="0" w:line="100" w:lineRule="atLeast"/>
              <w:jc w:val="both"/>
              <w:textAlignment w:val="baseline"/>
              <w:rPr>
                <w:color w:val="000000" w:themeColor="text1"/>
              </w:rPr>
            </w:pPr>
            <w:r w:rsidRPr="00172E83">
              <w:rPr>
                <w:rFonts w:ascii="Calibri" w:hAnsi="Calibri"/>
                <w:color w:val="000000" w:themeColor="text1"/>
                <w:sz w:val="22"/>
                <w:szCs w:val="22"/>
                <w:lang w:val="en-US"/>
              </w:rPr>
              <w:t>No impact</w:t>
            </w:r>
          </w:p>
        </w:tc>
        <w:tc>
          <w:tcPr>
            <w:tcW w:w="184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5C9951C" w14:textId="77777777" w:rsidR="006F6A13" w:rsidRPr="00172E83" w:rsidRDefault="006F6A13" w:rsidP="00E34C6D">
            <w:pPr>
              <w:pStyle w:val="Padro"/>
              <w:tabs>
                <w:tab w:val="left" w:pos="12960"/>
                <w:tab w:val="left" w:pos="13860"/>
              </w:tabs>
              <w:spacing w:after="0" w:line="100" w:lineRule="atLeast"/>
              <w:jc w:val="both"/>
              <w:textAlignment w:val="baseline"/>
              <w:rPr>
                <w:color w:val="000000" w:themeColor="text1"/>
              </w:rPr>
            </w:pPr>
          </w:p>
        </w:tc>
      </w:tr>
    </w:tbl>
    <w:p w14:paraId="2F1CA26D" w14:textId="30A52949" w:rsidR="006F6A13" w:rsidRPr="00172E83" w:rsidRDefault="006F6A13" w:rsidP="006F6A13">
      <w:pPr>
        <w:pStyle w:val="Padro"/>
        <w:spacing w:after="120" w:line="360" w:lineRule="auto"/>
        <w:jc w:val="both"/>
        <w:rPr>
          <w:color w:val="000000" w:themeColor="text1"/>
        </w:rPr>
      </w:pPr>
      <w:r w:rsidRPr="00172E83">
        <w:rPr>
          <w:rFonts w:ascii="Calibri" w:hAnsi="Calibri"/>
          <w:color w:val="000000" w:themeColor="text1"/>
          <w:sz w:val="22"/>
          <w:szCs w:val="22"/>
          <w:lang w:val="en-US"/>
        </w:rPr>
        <w:t xml:space="preserve">             Source: own compilation </w:t>
      </w:r>
    </w:p>
    <w:p w14:paraId="5A998C75" w14:textId="77777777" w:rsidR="006F6A13" w:rsidRPr="00172E83" w:rsidRDefault="006F6A13" w:rsidP="00280BFD">
      <w:pPr>
        <w:pStyle w:val="berschrift3"/>
        <w:spacing w:after="240"/>
        <w:rPr>
          <w:color w:val="000000" w:themeColor="text1"/>
          <w:lang w:val="en-US"/>
        </w:rPr>
      </w:pPr>
    </w:p>
    <w:p w14:paraId="14265C7C" w14:textId="20C8E21F" w:rsidR="00E728E7" w:rsidRPr="00C665AC" w:rsidRDefault="00EF54C6" w:rsidP="00280BFD">
      <w:pPr>
        <w:pStyle w:val="berschrift3"/>
        <w:spacing w:after="240"/>
        <w:rPr>
          <w:b/>
          <w:color w:val="000000" w:themeColor="text1"/>
          <w:lang w:val="en-US"/>
        </w:rPr>
      </w:pPr>
      <w:r w:rsidRPr="00C665AC">
        <w:rPr>
          <w:b/>
          <w:color w:val="000000" w:themeColor="text1"/>
          <w:lang w:val="en-US"/>
        </w:rPr>
        <w:t xml:space="preserve">4b. </w:t>
      </w:r>
      <w:r w:rsidR="00C665AC">
        <w:rPr>
          <w:b/>
          <w:color w:val="000000" w:themeColor="text1"/>
          <w:lang w:val="en-US"/>
        </w:rPr>
        <w:t>C</w:t>
      </w:r>
      <w:r w:rsidR="00523A8B" w:rsidRPr="00C665AC">
        <w:rPr>
          <w:b/>
          <w:color w:val="000000" w:themeColor="text1"/>
          <w:lang w:val="en-US"/>
        </w:rPr>
        <w:t>AR</w:t>
      </w:r>
      <w:r w:rsidR="00D757F7" w:rsidRPr="00C665AC">
        <w:rPr>
          <w:b/>
          <w:color w:val="000000" w:themeColor="text1"/>
          <w:lang w:val="en-US"/>
        </w:rPr>
        <w:t xml:space="preserve"> in the context of dirty inflation targeting</w:t>
      </w:r>
      <w:r w:rsidR="00A0003B" w:rsidRPr="00C665AC">
        <w:rPr>
          <w:b/>
          <w:color w:val="000000" w:themeColor="text1"/>
          <w:lang w:val="en-US"/>
        </w:rPr>
        <w:t xml:space="preserve"> and</w:t>
      </w:r>
      <w:r w:rsidR="00523A8B" w:rsidRPr="00C665AC">
        <w:rPr>
          <w:b/>
          <w:color w:val="000000" w:themeColor="text1"/>
          <w:lang w:val="en-US"/>
        </w:rPr>
        <w:t xml:space="preserve"> lower external vulnerability </w:t>
      </w:r>
    </w:p>
    <w:p w14:paraId="206A69F0" w14:textId="77777777" w:rsidR="00E275C8" w:rsidRPr="00172E83" w:rsidRDefault="00160EB3" w:rsidP="00160EB3">
      <w:pPr>
        <w:pStyle w:val="Padro"/>
        <w:tabs>
          <w:tab w:val="left" w:pos="1418"/>
        </w:tabs>
        <w:spacing w:after="120" w:line="360" w:lineRule="auto"/>
        <w:jc w:val="both"/>
        <w:rPr>
          <w:rFonts w:asciiTheme="minorHAnsi" w:hAnsiTheme="minorHAnsi"/>
          <w:color w:val="000000" w:themeColor="text1"/>
          <w:sz w:val="22"/>
          <w:szCs w:val="22"/>
          <w:lang w:val="en-US"/>
        </w:rPr>
      </w:pPr>
      <w:r w:rsidRPr="00172E83">
        <w:rPr>
          <w:rFonts w:ascii="Calibri" w:hAnsi="Calibri"/>
          <w:bCs/>
          <w:color w:val="000000" w:themeColor="text1"/>
          <w:sz w:val="22"/>
          <w:szCs w:val="22"/>
          <w:lang w:val="en-US"/>
        </w:rPr>
        <w:t xml:space="preserve">After the 1999 currency crisis, </w:t>
      </w:r>
      <w:r w:rsidR="00385CE4" w:rsidRPr="00172E83">
        <w:rPr>
          <w:rFonts w:ascii="Calibri" w:hAnsi="Calibri"/>
          <w:bCs/>
          <w:color w:val="000000" w:themeColor="text1"/>
          <w:sz w:val="22"/>
          <w:szCs w:val="22"/>
          <w:lang w:val="en-US"/>
        </w:rPr>
        <w:t xml:space="preserve">Brazilian </w:t>
      </w:r>
      <w:r w:rsidRPr="00172E83">
        <w:rPr>
          <w:rFonts w:ascii="Calibri" w:hAnsi="Calibri"/>
          <w:bCs/>
          <w:color w:val="000000" w:themeColor="text1"/>
          <w:sz w:val="22"/>
          <w:szCs w:val="22"/>
          <w:lang w:val="en-US"/>
        </w:rPr>
        <w:t xml:space="preserve">adopted a new macroeconomic regime featured by a </w:t>
      </w:r>
      <w:r w:rsidR="00385CE4" w:rsidRPr="00172E83">
        <w:rPr>
          <w:rFonts w:ascii="Calibri" w:hAnsi="Calibri"/>
          <w:bCs/>
          <w:color w:val="000000" w:themeColor="text1"/>
          <w:sz w:val="22"/>
          <w:szCs w:val="22"/>
          <w:lang w:val="en-US"/>
        </w:rPr>
        <w:t xml:space="preserve">floating exchange rate and </w:t>
      </w:r>
      <w:r w:rsidRPr="00172E83">
        <w:rPr>
          <w:rFonts w:ascii="Calibri" w:hAnsi="Calibri"/>
          <w:bCs/>
          <w:color w:val="000000" w:themeColor="text1"/>
          <w:sz w:val="22"/>
          <w:szCs w:val="22"/>
          <w:lang w:val="en-US"/>
        </w:rPr>
        <w:t xml:space="preserve">an </w:t>
      </w:r>
      <w:r w:rsidR="00385CE4" w:rsidRPr="00172E83">
        <w:rPr>
          <w:rFonts w:ascii="Calibri" w:hAnsi="Calibri"/>
          <w:bCs/>
          <w:color w:val="000000" w:themeColor="text1"/>
          <w:sz w:val="22"/>
          <w:szCs w:val="22"/>
          <w:lang w:val="en-US"/>
        </w:rPr>
        <w:t>inflation target policy</w:t>
      </w:r>
      <w:r w:rsidRPr="00172E83">
        <w:rPr>
          <w:rFonts w:ascii="Calibri" w:hAnsi="Calibri"/>
          <w:bCs/>
          <w:color w:val="000000" w:themeColor="text1"/>
          <w:sz w:val="22"/>
          <w:szCs w:val="22"/>
          <w:lang w:val="en-US"/>
        </w:rPr>
        <w:t xml:space="preserve">. The change in the macroeconomic stance </w:t>
      </w:r>
      <w:r w:rsidR="00385CE4" w:rsidRPr="00172E83">
        <w:rPr>
          <w:rFonts w:ascii="Calibri" w:hAnsi="Calibri"/>
          <w:bCs/>
          <w:color w:val="000000" w:themeColor="text1"/>
          <w:sz w:val="22"/>
          <w:szCs w:val="22"/>
          <w:lang w:val="en-US"/>
        </w:rPr>
        <w:t>was accompanied by a deepening of the process of financial opening in January 2000, when Resolution CMN n. 2689 authorized the unrestricted access of nonresident investors to all segments of the domestic financial market, including the derivatives market</w:t>
      </w:r>
      <w:r w:rsidRPr="00172E83">
        <w:rPr>
          <w:rFonts w:ascii="Calibri" w:hAnsi="Calibri"/>
          <w:bCs/>
          <w:color w:val="000000" w:themeColor="text1"/>
          <w:sz w:val="22"/>
          <w:szCs w:val="22"/>
          <w:lang w:val="en-US"/>
        </w:rPr>
        <w:t xml:space="preserve">. </w:t>
      </w:r>
      <w:r w:rsidRPr="00172E83">
        <w:rPr>
          <w:rFonts w:asciiTheme="minorHAnsi" w:hAnsiTheme="minorHAnsi"/>
          <w:bCs/>
          <w:color w:val="000000" w:themeColor="text1"/>
          <w:sz w:val="22"/>
          <w:szCs w:val="22"/>
          <w:lang w:val="en-US"/>
        </w:rPr>
        <w:t xml:space="preserve">Luis Inácio </w:t>
      </w:r>
      <w:r w:rsidR="00BA035F" w:rsidRPr="00172E83">
        <w:rPr>
          <w:rFonts w:asciiTheme="minorHAnsi" w:hAnsiTheme="minorHAnsi"/>
          <w:bCs/>
          <w:color w:val="000000" w:themeColor="text1"/>
          <w:sz w:val="22"/>
          <w:szCs w:val="22"/>
          <w:lang w:val="en-US"/>
        </w:rPr>
        <w:t>Lula</w:t>
      </w:r>
      <w:r w:rsidRPr="00172E83">
        <w:rPr>
          <w:rFonts w:asciiTheme="minorHAnsi" w:hAnsiTheme="minorHAnsi"/>
          <w:bCs/>
          <w:color w:val="000000" w:themeColor="text1"/>
          <w:sz w:val="22"/>
          <w:szCs w:val="22"/>
          <w:lang w:val="en-US"/>
        </w:rPr>
        <w:t xml:space="preserve"> da Silva´s (thereafter Lula)</w:t>
      </w:r>
      <w:r w:rsidR="00BA035F" w:rsidRPr="00172E83">
        <w:rPr>
          <w:rFonts w:asciiTheme="minorHAnsi" w:hAnsiTheme="minorHAnsi"/>
          <w:bCs/>
          <w:color w:val="000000" w:themeColor="text1"/>
          <w:sz w:val="22"/>
          <w:szCs w:val="22"/>
          <w:lang w:val="en-US"/>
        </w:rPr>
        <w:t xml:space="preserve"> economic policies, beginning in January 2003, were marked by the continuity of this </w:t>
      </w:r>
      <w:r w:rsidRPr="00172E83">
        <w:rPr>
          <w:rFonts w:asciiTheme="minorHAnsi" w:hAnsiTheme="minorHAnsi"/>
          <w:bCs/>
          <w:color w:val="000000" w:themeColor="text1"/>
          <w:sz w:val="22"/>
          <w:szCs w:val="22"/>
          <w:lang w:val="en-US"/>
        </w:rPr>
        <w:t>macroec</w:t>
      </w:r>
      <w:r w:rsidR="00BA035F" w:rsidRPr="00172E83">
        <w:rPr>
          <w:rFonts w:asciiTheme="minorHAnsi" w:hAnsiTheme="minorHAnsi"/>
          <w:bCs/>
          <w:color w:val="000000" w:themeColor="text1"/>
          <w:sz w:val="22"/>
          <w:szCs w:val="22"/>
          <w:lang w:val="en-US"/>
        </w:rPr>
        <w:t>onomic</w:t>
      </w:r>
      <w:r w:rsidRPr="00172E83">
        <w:rPr>
          <w:rFonts w:asciiTheme="minorHAnsi" w:hAnsiTheme="minorHAnsi"/>
          <w:bCs/>
          <w:color w:val="000000" w:themeColor="text1"/>
          <w:sz w:val="22"/>
          <w:szCs w:val="22"/>
          <w:lang w:val="en-US"/>
        </w:rPr>
        <w:t xml:space="preserve"> regime</w:t>
      </w:r>
      <w:r w:rsidRPr="00172E83">
        <w:rPr>
          <w:rStyle w:val="Funotenzeichen"/>
          <w:rFonts w:asciiTheme="minorHAnsi" w:hAnsiTheme="minorHAnsi"/>
          <w:color w:val="000000" w:themeColor="text1"/>
          <w:sz w:val="22"/>
          <w:szCs w:val="22"/>
          <w:lang w:val="en-US" w:eastAsia="ko-KR"/>
        </w:rPr>
        <w:footnoteReference w:id="10"/>
      </w:r>
      <w:r w:rsidR="00BA035F" w:rsidRPr="00172E83">
        <w:rPr>
          <w:rFonts w:asciiTheme="minorHAnsi" w:hAnsiTheme="minorHAnsi"/>
          <w:bCs/>
          <w:color w:val="000000" w:themeColor="text1"/>
          <w:sz w:val="22"/>
          <w:szCs w:val="22"/>
          <w:lang w:val="en-US"/>
        </w:rPr>
        <w:t xml:space="preserve">. </w:t>
      </w:r>
      <w:r w:rsidRPr="00172E83">
        <w:rPr>
          <w:rFonts w:asciiTheme="minorHAnsi" w:hAnsiTheme="minorHAnsi"/>
          <w:bCs/>
          <w:color w:val="000000" w:themeColor="text1"/>
          <w:sz w:val="22"/>
          <w:szCs w:val="22"/>
          <w:lang w:val="en-US"/>
        </w:rPr>
        <w:t>Yet, i</w:t>
      </w:r>
      <w:r w:rsidR="00BA035F" w:rsidRPr="00172E83">
        <w:rPr>
          <w:rFonts w:asciiTheme="minorHAnsi" w:hAnsiTheme="minorHAnsi"/>
          <w:bCs/>
          <w:color w:val="000000" w:themeColor="text1"/>
          <w:sz w:val="22"/>
          <w:szCs w:val="22"/>
          <w:lang w:val="en-US"/>
        </w:rPr>
        <w:t>n contrast with the</w:t>
      </w:r>
      <w:r w:rsidRPr="00172E83">
        <w:rPr>
          <w:rFonts w:asciiTheme="minorHAnsi" w:hAnsiTheme="minorHAnsi"/>
          <w:bCs/>
          <w:color w:val="000000" w:themeColor="text1"/>
          <w:sz w:val="22"/>
          <w:szCs w:val="22"/>
          <w:lang w:val="en-US"/>
        </w:rPr>
        <w:t xml:space="preserve"> previous</w:t>
      </w:r>
      <w:r w:rsidR="00BA035F" w:rsidRPr="00172E83">
        <w:rPr>
          <w:rFonts w:asciiTheme="minorHAnsi" w:hAnsiTheme="minorHAnsi"/>
          <w:bCs/>
          <w:color w:val="000000" w:themeColor="text1"/>
          <w:sz w:val="22"/>
          <w:szCs w:val="22"/>
          <w:lang w:val="en-US"/>
        </w:rPr>
        <w:t xml:space="preserve"> period</w:t>
      </w:r>
      <w:r w:rsidRPr="00172E83">
        <w:rPr>
          <w:rFonts w:asciiTheme="minorHAnsi" w:hAnsiTheme="minorHAnsi"/>
          <w:bCs/>
          <w:color w:val="000000" w:themeColor="text1"/>
          <w:sz w:val="22"/>
          <w:szCs w:val="22"/>
          <w:lang w:val="en-US"/>
        </w:rPr>
        <w:t xml:space="preserve"> (</w:t>
      </w:r>
      <w:r w:rsidR="00BA035F" w:rsidRPr="00172E83">
        <w:rPr>
          <w:rFonts w:asciiTheme="minorHAnsi" w:hAnsiTheme="minorHAnsi"/>
          <w:bCs/>
          <w:color w:val="000000" w:themeColor="text1"/>
          <w:sz w:val="22"/>
          <w:szCs w:val="22"/>
          <w:lang w:val="en-US"/>
        </w:rPr>
        <w:t>1999-2002</w:t>
      </w:r>
      <w:r w:rsidRPr="00172E83">
        <w:rPr>
          <w:rFonts w:asciiTheme="minorHAnsi" w:hAnsiTheme="minorHAnsi"/>
          <w:bCs/>
          <w:color w:val="000000" w:themeColor="text1"/>
          <w:sz w:val="22"/>
          <w:szCs w:val="22"/>
          <w:lang w:val="en-US"/>
        </w:rPr>
        <w:t>)</w:t>
      </w:r>
      <w:r w:rsidR="00BA035F" w:rsidRPr="00172E83">
        <w:rPr>
          <w:rFonts w:asciiTheme="minorHAnsi" w:hAnsiTheme="minorHAnsi"/>
          <w:bCs/>
          <w:color w:val="000000" w:themeColor="text1"/>
          <w:sz w:val="22"/>
          <w:szCs w:val="22"/>
          <w:lang w:val="en-US"/>
        </w:rPr>
        <w:t xml:space="preserve">, </w:t>
      </w:r>
      <w:r w:rsidRPr="00172E83">
        <w:rPr>
          <w:rFonts w:asciiTheme="minorHAnsi" w:hAnsiTheme="minorHAnsi"/>
          <w:bCs/>
          <w:color w:val="000000" w:themeColor="text1"/>
          <w:sz w:val="22"/>
          <w:szCs w:val="22"/>
          <w:lang w:val="en-US"/>
        </w:rPr>
        <w:t xml:space="preserve">it </w:t>
      </w:r>
      <w:r w:rsidR="00BA035F" w:rsidRPr="00172E83">
        <w:rPr>
          <w:rFonts w:asciiTheme="minorHAnsi" w:hAnsiTheme="minorHAnsi"/>
          <w:color w:val="000000" w:themeColor="text1"/>
          <w:sz w:val="22"/>
          <w:szCs w:val="22"/>
          <w:lang w:val="en-US"/>
        </w:rPr>
        <w:t xml:space="preserve">was implemented in an exceptionally favorable international context, featured by rising commodity prices and a boom of capital flows to emerging countries (Ocampo, 2007). </w:t>
      </w:r>
    </w:p>
    <w:p w14:paraId="2D6ED1FD" w14:textId="5975D5A4" w:rsidR="00DC6511" w:rsidRPr="00172E83" w:rsidRDefault="00BA035F" w:rsidP="00CA195D">
      <w:pPr>
        <w:pStyle w:val="Padro"/>
        <w:tabs>
          <w:tab w:val="left" w:pos="1418"/>
        </w:tabs>
        <w:spacing w:after="120" w:line="360" w:lineRule="auto"/>
        <w:jc w:val="both"/>
        <w:rPr>
          <w:rFonts w:asciiTheme="minorHAnsi" w:hAnsiTheme="minorHAnsi"/>
          <w:color w:val="000000" w:themeColor="text1"/>
          <w:sz w:val="22"/>
          <w:szCs w:val="22"/>
          <w:lang w:val="en-US"/>
        </w:rPr>
      </w:pPr>
      <w:r w:rsidRPr="00172E83">
        <w:rPr>
          <w:rFonts w:asciiTheme="minorHAnsi" w:hAnsiTheme="minorHAnsi"/>
          <w:bCs/>
          <w:color w:val="000000" w:themeColor="text1"/>
          <w:sz w:val="22"/>
          <w:szCs w:val="22"/>
          <w:lang w:val="en-US"/>
        </w:rPr>
        <w:t xml:space="preserve">In this setting, </w:t>
      </w:r>
      <w:r w:rsidRPr="00172E83">
        <w:rPr>
          <w:rFonts w:asciiTheme="minorHAnsi" w:hAnsiTheme="minorHAnsi"/>
          <w:color w:val="000000" w:themeColor="text1"/>
          <w:sz w:val="22"/>
          <w:szCs w:val="22"/>
          <w:lang w:val="en-US"/>
        </w:rPr>
        <w:t xml:space="preserve">opting for a tight monetary policy </w:t>
      </w:r>
      <w:r w:rsidR="00B94856" w:rsidRPr="00172E83">
        <w:rPr>
          <w:rFonts w:asciiTheme="minorHAnsi" w:hAnsiTheme="minorHAnsi"/>
          <w:bCs/>
          <w:color w:val="000000" w:themeColor="text1"/>
          <w:sz w:val="22"/>
          <w:szCs w:val="22"/>
          <w:lang w:val="en-US"/>
        </w:rPr>
        <w:t xml:space="preserve">under the conditions of high financial openness </w:t>
      </w:r>
      <w:r w:rsidRPr="00172E83">
        <w:rPr>
          <w:rFonts w:asciiTheme="minorHAnsi" w:hAnsiTheme="minorHAnsi"/>
          <w:color w:val="000000" w:themeColor="text1"/>
          <w:sz w:val="22"/>
          <w:szCs w:val="22"/>
          <w:lang w:val="en-US"/>
        </w:rPr>
        <w:t xml:space="preserve">ensured the effectiveness of the inflation targeting policy </w:t>
      </w:r>
      <w:r w:rsidR="00160EB3" w:rsidRPr="00172E83">
        <w:rPr>
          <w:rFonts w:asciiTheme="minorHAnsi" w:hAnsiTheme="minorHAnsi"/>
          <w:color w:val="000000" w:themeColor="text1"/>
          <w:sz w:val="22"/>
          <w:szCs w:val="22"/>
          <w:lang w:val="en-US"/>
        </w:rPr>
        <w:t xml:space="preserve">through the appreciation of the Brazilian currency, </w:t>
      </w:r>
      <w:r w:rsidRPr="00172E83">
        <w:rPr>
          <w:rFonts w:asciiTheme="minorHAnsi" w:hAnsiTheme="minorHAnsi"/>
          <w:color w:val="000000" w:themeColor="text1"/>
          <w:sz w:val="22"/>
          <w:szCs w:val="22"/>
          <w:lang w:val="en-US"/>
        </w:rPr>
        <w:t xml:space="preserve">but forced the monetary authorities to abandon any kind of target for the nominal exchange rate. </w:t>
      </w:r>
      <w:r w:rsidR="00F75A45" w:rsidRPr="00172E83">
        <w:rPr>
          <w:rFonts w:ascii="Calibri" w:hAnsi="Calibri"/>
          <w:color w:val="000000" w:themeColor="text1"/>
          <w:sz w:val="22"/>
          <w:szCs w:val="22"/>
          <w:lang w:val="en-US"/>
        </w:rPr>
        <w:t xml:space="preserve">The main determinant of the currency appreciation in this period was the </w:t>
      </w:r>
      <w:r w:rsidR="00CA195D" w:rsidRPr="00172E83">
        <w:rPr>
          <w:rFonts w:ascii="Calibri" w:hAnsi="Calibri"/>
          <w:color w:val="000000" w:themeColor="text1"/>
          <w:sz w:val="22"/>
          <w:szCs w:val="22"/>
          <w:lang w:val="en-US"/>
        </w:rPr>
        <w:t xml:space="preserve">derivative </w:t>
      </w:r>
      <w:r w:rsidR="00F75A45" w:rsidRPr="00172E83">
        <w:rPr>
          <w:rFonts w:ascii="Calibri" w:hAnsi="Calibri"/>
          <w:color w:val="000000" w:themeColor="text1"/>
          <w:sz w:val="22"/>
          <w:szCs w:val="22"/>
          <w:lang w:val="en-US"/>
        </w:rPr>
        <w:t>carry-trade operations</w:t>
      </w:r>
      <w:r w:rsidR="00CA195D" w:rsidRPr="00172E83">
        <w:rPr>
          <w:rFonts w:ascii="Calibri" w:hAnsi="Calibri"/>
          <w:color w:val="000000" w:themeColor="text1"/>
          <w:sz w:val="22"/>
          <w:szCs w:val="22"/>
          <w:lang w:val="en-US"/>
        </w:rPr>
        <w:t xml:space="preserve"> </w:t>
      </w:r>
      <w:r w:rsidR="00F75A45" w:rsidRPr="00172E83">
        <w:rPr>
          <w:rFonts w:ascii="Calibri" w:hAnsi="Calibri"/>
          <w:color w:val="000000" w:themeColor="text1"/>
          <w:sz w:val="22"/>
          <w:szCs w:val="22"/>
          <w:lang w:val="en-US"/>
        </w:rPr>
        <w:t xml:space="preserve">fostered by the very high interest rate </w:t>
      </w:r>
      <w:r w:rsidR="00F75A45" w:rsidRPr="00172E83">
        <w:rPr>
          <w:rFonts w:asciiTheme="minorHAnsi" w:hAnsiTheme="minorHAnsi"/>
          <w:color w:val="000000" w:themeColor="text1"/>
          <w:sz w:val="22"/>
          <w:szCs w:val="22"/>
          <w:lang w:val="en-US"/>
        </w:rPr>
        <w:t>differential</w:t>
      </w:r>
      <w:r w:rsidR="003E16D9" w:rsidRPr="00172E83">
        <w:rPr>
          <w:rFonts w:asciiTheme="minorHAnsi" w:hAnsiTheme="minorHAnsi"/>
          <w:color w:val="000000" w:themeColor="text1"/>
          <w:sz w:val="22"/>
          <w:szCs w:val="22"/>
          <w:lang w:val="en-US"/>
        </w:rPr>
        <w:t xml:space="preserve"> (see graph 5)</w:t>
      </w:r>
      <w:r w:rsidR="00F75A45" w:rsidRPr="00172E83">
        <w:rPr>
          <w:rFonts w:asciiTheme="minorHAnsi" w:hAnsiTheme="minorHAnsi"/>
          <w:color w:val="000000" w:themeColor="text1"/>
          <w:sz w:val="22"/>
          <w:szCs w:val="22"/>
          <w:lang w:val="en-US"/>
        </w:rPr>
        <w:t xml:space="preserve">. </w:t>
      </w:r>
      <w:r w:rsidR="00CA195D" w:rsidRPr="00172E83">
        <w:rPr>
          <w:rFonts w:asciiTheme="minorHAnsi" w:hAnsiTheme="minorHAnsi"/>
          <w:color w:val="000000" w:themeColor="text1"/>
          <w:sz w:val="22"/>
          <w:szCs w:val="22"/>
          <w:lang w:val="en-US"/>
        </w:rPr>
        <w:t>On the contrary of the canonical carry trade through spot market operations (borrowing low interest rate currencies and lending high interest rate currencies)</w:t>
      </w:r>
      <w:r w:rsidR="00AF5A0D" w:rsidRPr="00172E83">
        <w:rPr>
          <w:rFonts w:asciiTheme="minorHAnsi" w:hAnsiTheme="minorHAnsi"/>
          <w:color w:val="000000" w:themeColor="text1"/>
          <w:sz w:val="22"/>
          <w:szCs w:val="22"/>
          <w:lang w:val="en-US"/>
        </w:rPr>
        <w:t>, i</w:t>
      </w:r>
      <w:r w:rsidR="00CA195D" w:rsidRPr="00172E83">
        <w:rPr>
          <w:rFonts w:asciiTheme="minorHAnsi" w:hAnsiTheme="minorHAnsi"/>
          <w:color w:val="000000" w:themeColor="text1"/>
          <w:sz w:val="22"/>
          <w:szCs w:val="22"/>
          <w:lang w:val="en-US"/>
        </w:rPr>
        <w:t xml:space="preserve">n </w:t>
      </w:r>
      <w:r w:rsidR="00AF5A0D" w:rsidRPr="00172E83">
        <w:rPr>
          <w:rFonts w:asciiTheme="minorHAnsi" w:hAnsiTheme="minorHAnsi"/>
          <w:color w:val="000000" w:themeColor="text1"/>
          <w:sz w:val="22"/>
          <w:szCs w:val="22"/>
          <w:lang w:val="en-US"/>
        </w:rPr>
        <w:t xml:space="preserve">the FX </w:t>
      </w:r>
      <w:r w:rsidR="00CA195D" w:rsidRPr="00172E83">
        <w:rPr>
          <w:rFonts w:asciiTheme="minorHAnsi" w:hAnsiTheme="minorHAnsi"/>
          <w:color w:val="000000" w:themeColor="text1"/>
          <w:sz w:val="22"/>
          <w:szCs w:val="22"/>
          <w:lang w:val="en-US"/>
        </w:rPr>
        <w:t>derivatives market the carry trade expresses itself as a bet which results in a short position in the funding currency and a long position in the target currency (Burnside et al. 2006; Gagnon/Chaboud 2007; Kaltenbrunner 2010).</w:t>
      </w:r>
      <w:r w:rsidR="00AF5A0D" w:rsidRPr="00172E83">
        <w:rPr>
          <w:rFonts w:asciiTheme="minorHAnsi" w:hAnsiTheme="minorHAnsi"/>
          <w:color w:val="000000" w:themeColor="text1"/>
          <w:sz w:val="22"/>
          <w:szCs w:val="22"/>
          <w:lang w:val="en-US"/>
        </w:rPr>
        <w:t xml:space="preserve"> </w:t>
      </w:r>
    </w:p>
    <w:p w14:paraId="0F7A9A6D" w14:textId="77777777" w:rsidR="00F75A45" w:rsidRPr="00172E83" w:rsidRDefault="00AF5A0D" w:rsidP="004F5888">
      <w:pPr>
        <w:pStyle w:val="Padro"/>
        <w:spacing w:after="120" w:line="360" w:lineRule="auto"/>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The predominance of this</w:t>
      </w:r>
      <w:r w:rsidR="00CA195D" w:rsidRPr="00172E83">
        <w:rPr>
          <w:rFonts w:asciiTheme="minorHAnsi" w:hAnsiTheme="minorHAnsi"/>
          <w:color w:val="000000" w:themeColor="text1"/>
          <w:sz w:val="22"/>
          <w:szCs w:val="22"/>
          <w:lang w:val="en-US"/>
        </w:rPr>
        <w:t xml:space="preserve"> kind of currency speculation strategy</w:t>
      </w:r>
      <w:r w:rsidRPr="00172E83">
        <w:rPr>
          <w:rFonts w:asciiTheme="minorHAnsi" w:hAnsiTheme="minorHAnsi"/>
          <w:color w:val="000000" w:themeColor="text1"/>
          <w:sz w:val="22"/>
          <w:szCs w:val="22"/>
          <w:lang w:val="en-US"/>
        </w:rPr>
        <w:t xml:space="preserve"> stemmed from </w:t>
      </w:r>
      <w:r w:rsidR="00DC6511" w:rsidRPr="00172E83">
        <w:rPr>
          <w:rFonts w:asciiTheme="minorHAnsi" w:hAnsiTheme="minorHAnsi"/>
          <w:color w:val="000000" w:themeColor="text1"/>
          <w:sz w:val="22"/>
          <w:szCs w:val="22"/>
          <w:lang w:val="en-US"/>
        </w:rPr>
        <w:t>the greater liquidity and d</w:t>
      </w:r>
      <w:r w:rsidR="000A62BF" w:rsidRPr="00172E83">
        <w:rPr>
          <w:rFonts w:asciiTheme="minorHAnsi" w:hAnsiTheme="minorHAnsi"/>
          <w:color w:val="000000" w:themeColor="text1"/>
          <w:sz w:val="22"/>
          <w:szCs w:val="22"/>
          <w:lang w:val="en-US"/>
        </w:rPr>
        <w:t>e</w:t>
      </w:r>
      <w:r w:rsidR="00201589" w:rsidRPr="00172E83">
        <w:rPr>
          <w:rFonts w:asciiTheme="minorHAnsi" w:hAnsiTheme="minorHAnsi"/>
          <w:color w:val="000000" w:themeColor="text1"/>
          <w:sz w:val="22"/>
          <w:szCs w:val="22"/>
          <w:lang w:val="en-US"/>
        </w:rPr>
        <w:t xml:space="preserve">pth </w:t>
      </w:r>
      <w:r w:rsidR="000A62BF" w:rsidRPr="00172E83">
        <w:rPr>
          <w:rFonts w:asciiTheme="minorHAnsi" w:hAnsiTheme="minorHAnsi"/>
          <w:color w:val="000000" w:themeColor="text1"/>
          <w:sz w:val="22"/>
          <w:szCs w:val="22"/>
          <w:lang w:val="en-US"/>
        </w:rPr>
        <w:t>of the FX futures market</w:t>
      </w:r>
      <w:r w:rsidR="00DC6511" w:rsidRPr="00172E83">
        <w:rPr>
          <w:rFonts w:asciiTheme="minorHAnsi" w:hAnsiTheme="minorHAnsi"/>
          <w:color w:val="000000" w:themeColor="text1"/>
          <w:sz w:val="22"/>
          <w:szCs w:val="22"/>
          <w:lang w:val="en-US"/>
        </w:rPr>
        <w:t xml:space="preserve"> (i.e., the organized segment of the FX derivatives markets) in comparison with the FX spot market</w:t>
      </w:r>
      <w:r w:rsidR="000A62BF" w:rsidRPr="00172E83">
        <w:rPr>
          <w:rFonts w:asciiTheme="minorHAnsi" w:hAnsiTheme="minorHAnsi"/>
          <w:color w:val="000000" w:themeColor="text1"/>
          <w:sz w:val="22"/>
          <w:szCs w:val="22"/>
          <w:lang w:val="en-US"/>
        </w:rPr>
        <w:t>,</w:t>
      </w:r>
      <w:r w:rsidR="000A62BF" w:rsidRPr="00172E83">
        <w:rPr>
          <w:rFonts w:ascii="Calibri" w:hAnsi="Calibri"/>
          <w:color w:val="000000" w:themeColor="text1"/>
          <w:sz w:val="22"/>
          <w:szCs w:val="22"/>
          <w:lang w:val="en-GB"/>
        </w:rPr>
        <w:t xml:space="preserve"> fostered</w:t>
      </w:r>
      <w:r w:rsidR="000A62BF" w:rsidRPr="00172E83">
        <w:rPr>
          <w:rFonts w:asciiTheme="minorHAnsi" w:hAnsiTheme="minorHAnsi"/>
          <w:color w:val="000000" w:themeColor="text1"/>
          <w:sz w:val="22"/>
          <w:szCs w:val="22"/>
          <w:lang w:val="en-US"/>
        </w:rPr>
        <w:t xml:space="preserve"> by </w:t>
      </w:r>
      <w:r w:rsidR="000A62BF" w:rsidRPr="00172E83">
        <w:rPr>
          <w:rFonts w:ascii="Calibri" w:hAnsi="Calibri"/>
          <w:color w:val="000000" w:themeColor="text1"/>
          <w:sz w:val="22"/>
          <w:szCs w:val="22"/>
          <w:lang w:val="en-GB"/>
        </w:rPr>
        <w:t>foreign investors’ unrestricted access to this segment since 2000</w:t>
      </w:r>
      <w:r w:rsidR="004F5888" w:rsidRPr="00172E83">
        <w:rPr>
          <w:rFonts w:ascii="Calibri" w:hAnsi="Calibri"/>
          <w:color w:val="000000" w:themeColor="text1"/>
          <w:sz w:val="22"/>
          <w:szCs w:val="22"/>
          <w:lang w:val="en-GB"/>
        </w:rPr>
        <w:t>.</w:t>
      </w:r>
      <w:r w:rsidR="000A62BF" w:rsidRPr="00172E83">
        <w:rPr>
          <w:rFonts w:ascii="Calibri" w:hAnsi="Calibri"/>
          <w:color w:val="000000" w:themeColor="text1"/>
          <w:sz w:val="22"/>
          <w:szCs w:val="22"/>
          <w:lang w:val="en-GB"/>
        </w:rPr>
        <w:t xml:space="preserve"> </w:t>
      </w:r>
      <w:r w:rsidR="00DC6511" w:rsidRPr="00172E83">
        <w:rPr>
          <w:rFonts w:asciiTheme="minorHAnsi" w:hAnsiTheme="minorHAnsi"/>
          <w:color w:val="000000" w:themeColor="text1"/>
          <w:sz w:val="22"/>
          <w:szCs w:val="22"/>
          <w:lang w:val="en-US"/>
        </w:rPr>
        <w:t xml:space="preserve">This </w:t>
      </w:r>
      <w:r w:rsidR="004F5888" w:rsidRPr="00172E83">
        <w:rPr>
          <w:rFonts w:ascii="Calibri" w:hAnsi="Calibri"/>
          <w:color w:val="000000" w:themeColor="text1"/>
          <w:sz w:val="22"/>
          <w:szCs w:val="22"/>
          <w:lang w:val="en-GB"/>
        </w:rPr>
        <w:t>sophistication</w:t>
      </w:r>
      <w:r w:rsidR="004F5888" w:rsidRPr="00172E83">
        <w:rPr>
          <w:rFonts w:asciiTheme="minorHAnsi" w:hAnsiTheme="minorHAnsi"/>
          <w:color w:val="000000" w:themeColor="text1"/>
          <w:sz w:val="22"/>
          <w:szCs w:val="22"/>
          <w:lang w:val="en-US"/>
        </w:rPr>
        <w:t xml:space="preserve"> </w:t>
      </w:r>
      <w:r w:rsidR="00DC6511" w:rsidRPr="00172E83">
        <w:rPr>
          <w:rFonts w:asciiTheme="minorHAnsi" w:hAnsiTheme="minorHAnsi"/>
          <w:color w:val="000000" w:themeColor="text1"/>
          <w:sz w:val="22"/>
          <w:szCs w:val="22"/>
          <w:lang w:val="en-US"/>
        </w:rPr>
        <w:t xml:space="preserve">of the Brazilian currency market </w:t>
      </w:r>
      <w:r w:rsidR="007E7416" w:rsidRPr="00172E83">
        <w:rPr>
          <w:rFonts w:asciiTheme="minorHAnsi" w:hAnsiTheme="minorHAnsi"/>
          <w:color w:val="000000" w:themeColor="text1"/>
          <w:sz w:val="22"/>
          <w:szCs w:val="22"/>
          <w:lang w:val="en-US"/>
        </w:rPr>
        <w:t>rendered the FX futures market the locus of formation of the BRL/USD exchange rate (Kaltenbrunner, 2010; Chamon and Garcia, 2013</w:t>
      </w:r>
      <w:r w:rsidR="00201589" w:rsidRPr="00172E83">
        <w:rPr>
          <w:rFonts w:asciiTheme="minorHAnsi" w:hAnsiTheme="minorHAnsi"/>
          <w:color w:val="000000" w:themeColor="text1"/>
          <w:sz w:val="22"/>
          <w:szCs w:val="22"/>
          <w:lang w:val="en-US"/>
        </w:rPr>
        <w:t>)</w:t>
      </w:r>
      <w:r w:rsidR="007E7416" w:rsidRPr="00172E83">
        <w:rPr>
          <w:rFonts w:asciiTheme="minorHAnsi" w:hAnsiTheme="minorHAnsi"/>
          <w:color w:val="000000" w:themeColor="text1"/>
          <w:sz w:val="22"/>
          <w:szCs w:val="22"/>
          <w:lang w:val="en-US"/>
        </w:rPr>
        <w:t xml:space="preserve">. </w:t>
      </w:r>
      <w:r w:rsidR="00CA195D" w:rsidRPr="00172E83">
        <w:rPr>
          <w:rFonts w:ascii="Calibri" w:hAnsi="Calibri"/>
          <w:color w:val="000000" w:themeColor="text1"/>
          <w:sz w:val="22"/>
          <w:szCs w:val="22"/>
          <w:lang w:val="en-US"/>
        </w:rPr>
        <w:t xml:space="preserve">Moreover, the non-deliverable feature of the </w:t>
      </w:r>
      <w:r w:rsidR="004F5888" w:rsidRPr="00172E83">
        <w:rPr>
          <w:rFonts w:ascii="Calibri" w:hAnsi="Calibri"/>
          <w:color w:val="000000" w:themeColor="text1"/>
          <w:sz w:val="22"/>
          <w:szCs w:val="22"/>
          <w:lang w:val="en-US"/>
        </w:rPr>
        <w:t xml:space="preserve">Brazilian </w:t>
      </w:r>
      <w:r w:rsidR="00CA195D" w:rsidRPr="00172E83">
        <w:rPr>
          <w:rFonts w:ascii="Calibri" w:hAnsi="Calibri"/>
          <w:color w:val="000000" w:themeColor="text1"/>
          <w:sz w:val="22"/>
          <w:szCs w:val="22"/>
          <w:lang w:val="en-US"/>
        </w:rPr>
        <w:t xml:space="preserve">FX derivatives market (i.e., operations are settled in BRL, the only legal tender in the country) has made the derivatives carry trade even more attractive in Brazil, inasmuch as foreign and domestic agents can engage in it without disbursing a single US dollar (Fritz/Prates, 2014). </w:t>
      </w:r>
    </w:p>
    <w:p w14:paraId="6D82EDF5" w14:textId="77777777" w:rsidR="007A411D" w:rsidRPr="00172E83" w:rsidRDefault="00B94856" w:rsidP="007A411D">
      <w:pPr>
        <w:pStyle w:val="Padro"/>
        <w:tabs>
          <w:tab w:val="left" w:pos="1418"/>
        </w:tabs>
        <w:spacing w:after="120" w:line="360" w:lineRule="auto"/>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 xml:space="preserve">At the same time, </w:t>
      </w:r>
      <w:r w:rsidR="00E275C8" w:rsidRPr="00172E83">
        <w:rPr>
          <w:rFonts w:asciiTheme="minorHAnsi" w:hAnsiTheme="minorHAnsi"/>
          <w:color w:val="000000" w:themeColor="text1"/>
          <w:sz w:val="22"/>
          <w:szCs w:val="22"/>
          <w:lang w:val="en-US"/>
        </w:rPr>
        <w:t xml:space="preserve">like many other emerging economies, Brazilian policy makers adopted </w:t>
      </w:r>
      <w:r w:rsidR="004F5888" w:rsidRPr="00172E83">
        <w:rPr>
          <w:rFonts w:asciiTheme="minorHAnsi" w:hAnsiTheme="minorHAnsi"/>
          <w:color w:val="000000" w:themeColor="text1"/>
          <w:sz w:val="22"/>
          <w:szCs w:val="22"/>
          <w:lang w:val="en-US"/>
        </w:rPr>
        <w:t xml:space="preserve">the strategy of paying off the public external debt and </w:t>
      </w:r>
      <w:r w:rsidR="00BA035F" w:rsidRPr="00172E83">
        <w:rPr>
          <w:rFonts w:asciiTheme="minorHAnsi" w:hAnsiTheme="minorHAnsi"/>
          <w:bCs/>
          <w:color w:val="000000" w:themeColor="text1"/>
          <w:sz w:val="22"/>
          <w:szCs w:val="22"/>
          <w:lang w:val="en-US"/>
        </w:rPr>
        <w:t>build</w:t>
      </w:r>
      <w:r w:rsidR="004F5888" w:rsidRPr="00172E83">
        <w:rPr>
          <w:rFonts w:asciiTheme="minorHAnsi" w:hAnsiTheme="minorHAnsi"/>
          <w:bCs/>
          <w:color w:val="000000" w:themeColor="text1"/>
          <w:sz w:val="22"/>
          <w:szCs w:val="22"/>
          <w:lang w:val="en-US"/>
        </w:rPr>
        <w:t xml:space="preserve">ing </w:t>
      </w:r>
      <w:r w:rsidR="00BA035F" w:rsidRPr="00172E83">
        <w:rPr>
          <w:rFonts w:asciiTheme="minorHAnsi" w:hAnsiTheme="minorHAnsi"/>
          <w:bCs/>
          <w:color w:val="000000" w:themeColor="text1"/>
          <w:sz w:val="22"/>
          <w:szCs w:val="22"/>
          <w:lang w:val="en-US"/>
        </w:rPr>
        <w:t xml:space="preserve">up </w:t>
      </w:r>
      <w:r w:rsidR="00BA035F" w:rsidRPr="00172E83">
        <w:rPr>
          <w:rFonts w:asciiTheme="minorHAnsi" w:hAnsiTheme="minorHAnsi"/>
          <w:color w:val="000000" w:themeColor="text1"/>
          <w:sz w:val="22"/>
          <w:szCs w:val="22"/>
          <w:lang w:val="en-US"/>
        </w:rPr>
        <w:t>international reserves which aimed at strengthening the country’s external position</w:t>
      </w:r>
      <w:r w:rsidR="00107121" w:rsidRPr="00172E83">
        <w:rPr>
          <w:rFonts w:asciiTheme="minorHAnsi" w:hAnsiTheme="minorHAnsi"/>
          <w:color w:val="000000" w:themeColor="text1"/>
          <w:sz w:val="22"/>
          <w:szCs w:val="22"/>
          <w:lang w:val="en-US"/>
        </w:rPr>
        <w:t xml:space="preserve">, the so called </w:t>
      </w:r>
      <w:r w:rsidR="00BA035F" w:rsidRPr="00172E83">
        <w:rPr>
          <w:rFonts w:asciiTheme="minorHAnsi" w:eastAsiaTheme="minorEastAsia" w:hAnsiTheme="minorHAnsi" w:cs="Times-Roman"/>
          <w:color w:val="000000" w:themeColor="text1"/>
          <w:sz w:val="22"/>
          <w:szCs w:val="22"/>
          <w:lang w:val="en-US" w:eastAsia="ii-CN"/>
        </w:rPr>
        <w:t xml:space="preserve">“precautionary </w:t>
      </w:r>
      <w:r w:rsidR="00BA035F" w:rsidRPr="00172E83">
        <w:rPr>
          <w:rFonts w:asciiTheme="minorHAnsi" w:hAnsiTheme="minorHAnsi"/>
          <w:color w:val="000000" w:themeColor="text1"/>
          <w:sz w:val="22"/>
          <w:szCs w:val="22"/>
          <w:lang w:val="en-US"/>
        </w:rPr>
        <w:t>demand” for reserves</w:t>
      </w:r>
      <w:r w:rsidRPr="00172E83">
        <w:rPr>
          <w:rFonts w:asciiTheme="minorHAnsi" w:hAnsiTheme="minorHAnsi"/>
          <w:color w:val="000000" w:themeColor="text1"/>
          <w:sz w:val="22"/>
          <w:szCs w:val="22"/>
          <w:lang w:val="en-US"/>
        </w:rPr>
        <w:t xml:space="preserve"> (Aizenman et al., 2004; Carvalho, 2010; Dooley et al., 2005)</w:t>
      </w:r>
      <w:r w:rsidRPr="00172E83">
        <w:rPr>
          <w:rStyle w:val="Funotenzeichen"/>
          <w:rFonts w:asciiTheme="minorHAnsi" w:hAnsiTheme="minorHAnsi"/>
          <w:color w:val="000000" w:themeColor="text1"/>
          <w:sz w:val="22"/>
          <w:szCs w:val="22"/>
          <w:lang w:val="en-US"/>
        </w:rPr>
        <w:footnoteReference w:id="11"/>
      </w:r>
      <w:r w:rsidRPr="00172E83">
        <w:rPr>
          <w:rFonts w:asciiTheme="minorHAnsi" w:hAnsiTheme="minorHAnsi"/>
          <w:color w:val="000000" w:themeColor="text1"/>
          <w:sz w:val="22"/>
          <w:szCs w:val="22"/>
          <w:lang w:val="en-US"/>
        </w:rPr>
        <w:t xml:space="preserve">. </w:t>
      </w:r>
      <w:r w:rsidR="005020B5" w:rsidRPr="00172E83">
        <w:rPr>
          <w:rFonts w:asciiTheme="minorHAnsi" w:hAnsiTheme="minorHAnsi"/>
          <w:color w:val="000000" w:themeColor="text1"/>
          <w:sz w:val="22"/>
          <w:szCs w:val="22"/>
          <w:lang w:val="en-US"/>
        </w:rPr>
        <w:t xml:space="preserve">As Rodrik (2006, p.12) points out, </w:t>
      </w:r>
      <w:r w:rsidR="00E275C8" w:rsidRPr="00172E83">
        <w:rPr>
          <w:rFonts w:asciiTheme="minorHAnsi" w:hAnsiTheme="minorHAnsi"/>
          <w:color w:val="000000" w:themeColor="text1"/>
          <w:sz w:val="22"/>
          <w:szCs w:val="22"/>
          <w:lang w:val="en-US"/>
        </w:rPr>
        <w:t xml:space="preserve">over the international capital flows boom before the global financial crisis, </w:t>
      </w:r>
      <w:r w:rsidR="005020B5" w:rsidRPr="00172E83">
        <w:rPr>
          <w:rFonts w:asciiTheme="minorHAnsi" w:hAnsiTheme="minorHAnsi"/>
          <w:color w:val="000000" w:themeColor="text1"/>
          <w:sz w:val="22"/>
          <w:szCs w:val="22"/>
          <w:lang w:val="en-US"/>
        </w:rPr>
        <w:t>these countries “over-invested in the costly strategy of reserve accumulation and under-invested in capital account management policies.”</w:t>
      </w:r>
      <w:r w:rsidR="007A411D" w:rsidRPr="00172E83">
        <w:rPr>
          <w:rFonts w:asciiTheme="minorHAnsi" w:hAnsiTheme="minorHAnsi"/>
          <w:color w:val="000000" w:themeColor="text1"/>
          <w:sz w:val="22"/>
          <w:szCs w:val="22"/>
          <w:lang w:val="en-US"/>
        </w:rPr>
        <w:t xml:space="preserve"> </w:t>
      </w:r>
    </w:p>
    <w:p w14:paraId="52EFD035" w14:textId="1FE14734" w:rsidR="00F75A45" w:rsidRPr="00172E83" w:rsidRDefault="004F5888" w:rsidP="007A411D">
      <w:pPr>
        <w:pStyle w:val="Padro"/>
        <w:tabs>
          <w:tab w:val="left" w:pos="1418"/>
        </w:tabs>
        <w:spacing w:after="120" w:line="360" w:lineRule="auto"/>
        <w:jc w:val="both"/>
        <w:rPr>
          <w:rFonts w:asciiTheme="minorHAnsi" w:hAnsiTheme="minorHAnsi"/>
          <w:color w:val="000000" w:themeColor="text1"/>
          <w:sz w:val="22"/>
          <w:szCs w:val="22"/>
          <w:lang w:val="en-US"/>
        </w:rPr>
      </w:pPr>
      <w:r w:rsidRPr="00172E83">
        <w:rPr>
          <w:rFonts w:ascii="Calibri" w:hAnsi="Calibri"/>
          <w:color w:val="000000" w:themeColor="text1"/>
          <w:sz w:val="22"/>
          <w:szCs w:val="22"/>
          <w:lang w:val="en-US"/>
        </w:rPr>
        <w:t xml:space="preserve">Therefore, </w:t>
      </w:r>
      <w:r w:rsidR="00633D46" w:rsidRPr="00172E83">
        <w:rPr>
          <w:rFonts w:ascii="Calibri" w:hAnsi="Calibri"/>
          <w:color w:val="000000" w:themeColor="text1"/>
          <w:sz w:val="22"/>
          <w:szCs w:val="22"/>
          <w:lang w:val="en-US"/>
        </w:rPr>
        <w:t xml:space="preserve">when the </w:t>
      </w:r>
      <w:r w:rsidR="007A411D" w:rsidRPr="00172E83">
        <w:rPr>
          <w:rFonts w:asciiTheme="minorHAnsi" w:hAnsiTheme="minorHAnsi"/>
          <w:color w:val="000000" w:themeColor="text1"/>
          <w:sz w:val="22"/>
          <w:szCs w:val="22"/>
          <w:lang w:val="en-US"/>
        </w:rPr>
        <w:t xml:space="preserve">new </w:t>
      </w:r>
      <w:r w:rsidR="0025645F" w:rsidRPr="00172E83">
        <w:rPr>
          <w:rFonts w:asciiTheme="minorHAnsi" w:hAnsiTheme="minorHAnsi"/>
          <w:color w:val="000000" w:themeColor="text1"/>
          <w:sz w:val="22"/>
          <w:szCs w:val="22"/>
          <w:lang w:val="en-US"/>
        </w:rPr>
        <w:t xml:space="preserve">cycle </w:t>
      </w:r>
      <w:r w:rsidR="007A411D" w:rsidRPr="00172E83">
        <w:rPr>
          <w:rFonts w:asciiTheme="minorHAnsi" w:hAnsiTheme="minorHAnsi"/>
          <w:color w:val="000000" w:themeColor="text1"/>
          <w:sz w:val="22"/>
          <w:szCs w:val="22"/>
          <w:lang w:val="en-US"/>
        </w:rPr>
        <w:t>of capital flows to emerging economies surged after the 2008 global financial crisis (Akyüz, 2011)</w:t>
      </w:r>
      <w:r w:rsidR="00E275C8" w:rsidRPr="00172E83">
        <w:rPr>
          <w:rFonts w:ascii="Calibri" w:hAnsi="Calibri"/>
          <w:color w:val="000000" w:themeColor="text1"/>
          <w:sz w:val="22"/>
          <w:szCs w:val="22"/>
          <w:lang w:val="en-US"/>
        </w:rPr>
        <w:t xml:space="preserve">, </w:t>
      </w:r>
      <w:r w:rsidR="00E275C8" w:rsidRPr="00172E83">
        <w:rPr>
          <w:rFonts w:ascii="Calibri" w:hAnsi="Calibri"/>
          <w:color w:val="000000" w:themeColor="text1"/>
          <w:sz w:val="22"/>
          <w:szCs w:val="22"/>
          <w:lang w:val="en-GB"/>
        </w:rPr>
        <w:t>Brazil did enjoy a rather low level of</w:t>
      </w:r>
      <w:r w:rsidR="007A411D" w:rsidRPr="00172E83">
        <w:rPr>
          <w:rFonts w:ascii="Calibri" w:hAnsi="Calibri"/>
          <w:color w:val="000000" w:themeColor="text1"/>
          <w:sz w:val="22"/>
          <w:szCs w:val="22"/>
          <w:lang w:val="en-GB"/>
        </w:rPr>
        <w:t xml:space="preserve"> </w:t>
      </w:r>
      <w:r w:rsidR="00E275C8" w:rsidRPr="00172E83">
        <w:rPr>
          <w:rFonts w:ascii="Calibri" w:hAnsi="Calibri"/>
          <w:color w:val="000000" w:themeColor="text1"/>
          <w:sz w:val="22"/>
          <w:szCs w:val="22"/>
          <w:lang w:val="en-GB"/>
        </w:rPr>
        <w:t>external vulnerability.</w:t>
      </w:r>
      <w:r w:rsidR="007A411D" w:rsidRPr="00172E83">
        <w:rPr>
          <w:rFonts w:ascii="Calibri" w:hAnsi="Calibri"/>
          <w:color w:val="000000" w:themeColor="text1"/>
          <w:sz w:val="22"/>
          <w:szCs w:val="22"/>
          <w:lang w:val="en-GB"/>
        </w:rPr>
        <w:t xml:space="preserve"> </w:t>
      </w:r>
      <w:r w:rsidR="004C7FF3" w:rsidRPr="00172E83">
        <w:rPr>
          <w:rFonts w:ascii="Calibri" w:hAnsi="Calibri"/>
          <w:color w:val="000000" w:themeColor="text1"/>
          <w:sz w:val="22"/>
          <w:szCs w:val="22"/>
          <w:lang w:val="en-GB"/>
        </w:rPr>
        <w:t xml:space="preserve">Over the boom of the cycle, </w:t>
      </w:r>
      <w:r w:rsidR="00633D46" w:rsidRPr="00172E83">
        <w:rPr>
          <w:rFonts w:asciiTheme="minorHAnsi" w:hAnsiTheme="minorHAnsi"/>
          <w:color w:val="000000" w:themeColor="text1"/>
          <w:sz w:val="22"/>
          <w:szCs w:val="22"/>
          <w:lang w:val="en-US"/>
        </w:rPr>
        <w:t>t</w:t>
      </w:r>
      <w:r w:rsidR="007A411D" w:rsidRPr="00172E83">
        <w:rPr>
          <w:rFonts w:asciiTheme="minorHAnsi" w:hAnsiTheme="minorHAnsi"/>
          <w:color w:val="000000" w:themeColor="text1"/>
          <w:sz w:val="22"/>
          <w:szCs w:val="22"/>
          <w:lang w:val="en-US"/>
        </w:rPr>
        <w:t xml:space="preserve">he country </w:t>
      </w:r>
      <w:r w:rsidR="007A411D" w:rsidRPr="00172E83">
        <w:rPr>
          <w:rFonts w:ascii="Calibri" w:hAnsi="Calibri"/>
          <w:color w:val="000000" w:themeColor="text1"/>
          <w:sz w:val="22"/>
          <w:szCs w:val="22"/>
          <w:lang w:val="en-US"/>
        </w:rPr>
        <w:t xml:space="preserve">was </w:t>
      </w:r>
      <w:r w:rsidR="00F75A45" w:rsidRPr="00172E83">
        <w:rPr>
          <w:rFonts w:ascii="Calibri" w:hAnsi="Calibri"/>
          <w:color w:val="000000" w:themeColor="text1"/>
          <w:sz w:val="22"/>
          <w:szCs w:val="22"/>
          <w:lang w:val="en-US"/>
        </w:rPr>
        <w:t xml:space="preserve">one of the main destinations </w:t>
      </w:r>
      <w:r w:rsidR="007A411D" w:rsidRPr="00172E83">
        <w:rPr>
          <w:rFonts w:ascii="Calibri" w:hAnsi="Calibri"/>
          <w:color w:val="000000" w:themeColor="text1"/>
          <w:sz w:val="22"/>
          <w:szCs w:val="22"/>
          <w:lang w:val="en-US"/>
        </w:rPr>
        <w:t xml:space="preserve">of </w:t>
      </w:r>
      <w:r w:rsidR="00633D46" w:rsidRPr="00172E83">
        <w:rPr>
          <w:rFonts w:ascii="Calibri" w:hAnsi="Calibri"/>
          <w:color w:val="000000" w:themeColor="text1"/>
          <w:sz w:val="22"/>
          <w:szCs w:val="22"/>
          <w:lang w:val="en-US"/>
        </w:rPr>
        <w:t xml:space="preserve">short term portfolio investments </w:t>
      </w:r>
      <w:r w:rsidR="00F75A45" w:rsidRPr="00172E83">
        <w:rPr>
          <w:rFonts w:ascii="Calibri" w:hAnsi="Calibri"/>
          <w:color w:val="000000" w:themeColor="text1"/>
          <w:sz w:val="22"/>
          <w:szCs w:val="22"/>
          <w:lang w:val="fr-FR"/>
        </w:rPr>
        <w:t>(IMF, 2011)</w:t>
      </w:r>
      <w:r w:rsidR="007A411D" w:rsidRPr="00172E83">
        <w:rPr>
          <w:rFonts w:ascii="Calibri" w:hAnsi="Calibri"/>
          <w:color w:val="000000" w:themeColor="text1"/>
          <w:sz w:val="22"/>
          <w:szCs w:val="22"/>
          <w:lang w:val="fr-FR"/>
        </w:rPr>
        <w:t xml:space="preserve"> and </w:t>
      </w:r>
      <w:r w:rsidR="00F75A45" w:rsidRPr="00172E83">
        <w:rPr>
          <w:rFonts w:ascii="Calibri" w:hAnsi="Calibri"/>
          <w:color w:val="000000" w:themeColor="text1"/>
          <w:sz w:val="22"/>
          <w:szCs w:val="22"/>
          <w:lang w:val="en-US"/>
        </w:rPr>
        <w:t>suffer</w:t>
      </w:r>
      <w:r w:rsidR="007A411D" w:rsidRPr="00172E83">
        <w:rPr>
          <w:rFonts w:ascii="Calibri" w:hAnsi="Calibri"/>
          <w:color w:val="000000" w:themeColor="text1"/>
          <w:sz w:val="22"/>
          <w:szCs w:val="22"/>
          <w:lang w:val="en-US"/>
        </w:rPr>
        <w:t>ed</w:t>
      </w:r>
      <w:r w:rsidR="00F75A45" w:rsidRPr="00172E83">
        <w:rPr>
          <w:rFonts w:ascii="Calibri" w:hAnsi="Calibri"/>
          <w:color w:val="000000" w:themeColor="text1"/>
          <w:sz w:val="22"/>
          <w:szCs w:val="22"/>
          <w:lang w:val="en-US"/>
        </w:rPr>
        <w:t xml:space="preserve"> </w:t>
      </w:r>
      <w:r w:rsidR="007A411D" w:rsidRPr="00172E83">
        <w:rPr>
          <w:rFonts w:ascii="Calibri" w:hAnsi="Calibri"/>
          <w:color w:val="000000" w:themeColor="text1"/>
          <w:sz w:val="22"/>
          <w:szCs w:val="22"/>
          <w:lang w:val="en-US"/>
        </w:rPr>
        <w:t xml:space="preserve">strong </w:t>
      </w:r>
      <w:r w:rsidR="00F75A45" w:rsidRPr="00172E83">
        <w:rPr>
          <w:rFonts w:ascii="Calibri" w:hAnsi="Calibri"/>
          <w:color w:val="000000" w:themeColor="text1"/>
          <w:sz w:val="22"/>
          <w:szCs w:val="22"/>
          <w:lang w:val="en-US"/>
        </w:rPr>
        <w:t>currency appreciation pressures from 2009 to mid-2011. This was due to a set of encouraging domestic factors: (i) the fast economic recovery; (ii) the post-crisis commodity price boom; (iii) a very high interest rate differential in comparison to other emerging economies</w:t>
      </w:r>
      <w:r w:rsidR="003E16D9" w:rsidRPr="00172E83">
        <w:rPr>
          <w:rFonts w:ascii="Calibri" w:hAnsi="Calibri"/>
          <w:color w:val="000000" w:themeColor="text1"/>
          <w:sz w:val="22"/>
          <w:szCs w:val="22"/>
          <w:lang w:val="en-US"/>
        </w:rPr>
        <w:t xml:space="preserve"> (graph 5</w:t>
      </w:r>
      <w:r w:rsidR="000F4898" w:rsidRPr="00172E83">
        <w:rPr>
          <w:rFonts w:ascii="Calibri" w:hAnsi="Calibri"/>
          <w:color w:val="000000" w:themeColor="text1"/>
          <w:sz w:val="22"/>
          <w:szCs w:val="22"/>
          <w:lang w:val="en-US"/>
        </w:rPr>
        <w:t>)</w:t>
      </w:r>
      <w:r w:rsidR="00F75A45" w:rsidRPr="00172E83">
        <w:rPr>
          <w:rFonts w:ascii="Calibri" w:hAnsi="Calibri"/>
          <w:color w:val="000000" w:themeColor="text1"/>
          <w:sz w:val="22"/>
          <w:szCs w:val="22"/>
          <w:lang w:val="en-US"/>
        </w:rPr>
        <w:t xml:space="preserve"> and (iv) the opportunity for high return through derivatives carry trade in the Brazilian futures exchange</w:t>
      </w:r>
      <w:r w:rsidR="00201589" w:rsidRPr="00172E83">
        <w:rPr>
          <w:rFonts w:ascii="Calibri" w:hAnsi="Calibri"/>
          <w:color w:val="000000" w:themeColor="text1"/>
          <w:sz w:val="22"/>
          <w:szCs w:val="22"/>
          <w:lang w:val="en-US"/>
        </w:rPr>
        <w:t>. O</w:t>
      </w:r>
      <w:r w:rsidR="0025645F" w:rsidRPr="00172E83">
        <w:rPr>
          <w:rFonts w:asciiTheme="minorHAnsi" w:hAnsiTheme="minorHAnsi"/>
          <w:color w:val="000000" w:themeColor="text1"/>
          <w:sz w:val="22"/>
          <w:szCs w:val="22"/>
          <w:lang w:val="en-US"/>
        </w:rPr>
        <w:t>nce again,</w:t>
      </w:r>
      <w:r w:rsidR="00B120BE" w:rsidRPr="00172E83">
        <w:rPr>
          <w:rFonts w:asciiTheme="minorHAnsi" w:hAnsiTheme="minorHAnsi"/>
          <w:color w:val="000000" w:themeColor="text1"/>
          <w:sz w:val="22"/>
          <w:szCs w:val="22"/>
          <w:lang w:val="en-US"/>
        </w:rPr>
        <w:t xml:space="preserve"> foreign investors</w:t>
      </w:r>
      <w:r w:rsidR="007A0207" w:rsidRPr="00172E83">
        <w:rPr>
          <w:rFonts w:asciiTheme="minorHAnsi" w:hAnsiTheme="minorHAnsi"/>
          <w:color w:val="000000" w:themeColor="text1"/>
          <w:sz w:val="22"/>
          <w:szCs w:val="22"/>
          <w:lang w:val="en-US"/>
        </w:rPr>
        <w:t xml:space="preserve"> made one-way bets on the appreciation of the Brazilian currency through short positions in the FX futures market (selling US dollars and buying BRL - see Graph </w:t>
      </w:r>
      <w:r w:rsidR="003E16D9" w:rsidRPr="00172E83">
        <w:rPr>
          <w:rFonts w:asciiTheme="minorHAnsi" w:hAnsiTheme="minorHAnsi"/>
          <w:color w:val="000000" w:themeColor="text1"/>
          <w:sz w:val="22"/>
          <w:szCs w:val="22"/>
          <w:lang w:val="en-US"/>
        </w:rPr>
        <w:t>6</w:t>
      </w:r>
      <w:r w:rsidR="007A0207" w:rsidRPr="00172E83">
        <w:rPr>
          <w:rFonts w:asciiTheme="minorHAnsi" w:hAnsiTheme="minorHAnsi"/>
          <w:color w:val="000000" w:themeColor="text1"/>
          <w:sz w:val="22"/>
          <w:szCs w:val="22"/>
          <w:lang w:val="en-US"/>
        </w:rPr>
        <w:t>)</w:t>
      </w:r>
      <w:r w:rsidR="00F75A45" w:rsidRPr="00172E83">
        <w:rPr>
          <w:rFonts w:ascii="Calibri" w:hAnsi="Calibri"/>
          <w:color w:val="000000" w:themeColor="text1"/>
          <w:sz w:val="22"/>
          <w:szCs w:val="22"/>
          <w:lang w:val="en-US"/>
        </w:rPr>
        <w:t xml:space="preserve">. </w:t>
      </w:r>
    </w:p>
    <w:p w14:paraId="55135300" w14:textId="5F945B0C" w:rsidR="007A411D" w:rsidRPr="00172E83" w:rsidRDefault="007A411D" w:rsidP="007A411D">
      <w:pPr>
        <w:tabs>
          <w:tab w:val="left" w:pos="1418"/>
        </w:tabs>
        <w:spacing w:after="0" w:line="240" w:lineRule="auto"/>
        <w:jc w:val="center"/>
        <w:rPr>
          <w:b/>
          <w:color w:val="000000" w:themeColor="text1"/>
          <w:lang w:val="en-US"/>
        </w:rPr>
      </w:pPr>
      <w:r w:rsidRPr="00172E83">
        <w:rPr>
          <w:b/>
          <w:color w:val="000000" w:themeColor="text1"/>
          <w:lang w:val="en-US"/>
        </w:rPr>
        <w:t xml:space="preserve">Graph </w:t>
      </w:r>
      <w:r w:rsidR="003E16D9" w:rsidRPr="00172E83">
        <w:rPr>
          <w:b/>
          <w:color w:val="000000" w:themeColor="text1"/>
          <w:lang w:val="en-US"/>
        </w:rPr>
        <w:t>5</w:t>
      </w:r>
      <w:r w:rsidRPr="00172E83">
        <w:rPr>
          <w:b/>
          <w:color w:val="000000" w:themeColor="text1"/>
          <w:lang w:val="en-US"/>
        </w:rPr>
        <w:t xml:space="preserve">: Interest rate differential </w:t>
      </w:r>
      <w:r w:rsidRPr="00172E83">
        <w:rPr>
          <w:b/>
          <w:color w:val="000000" w:themeColor="text1"/>
          <w:vertAlign w:val="superscript"/>
          <w:lang w:val="en-US"/>
        </w:rPr>
        <w:t>(1)</w:t>
      </w:r>
      <w:r w:rsidRPr="00172E83">
        <w:rPr>
          <w:b/>
          <w:color w:val="000000" w:themeColor="text1"/>
          <w:lang w:val="en-US"/>
        </w:rPr>
        <w:t xml:space="preserve"> – Brazil and other emerging economies</w:t>
      </w:r>
    </w:p>
    <w:p w14:paraId="6164075B" w14:textId="77777777" w:rsidR="00633D46" w:rsidRPr="00172E83" w:rsidRDefault="007A411D" w:rsidP="000F4898">
      <w:pPr>
        <w:pStyle w:val="Padro"/>
        <w:tabs>
          <w:tab w:val="left" w:pos="1418"/>
        </w:tabs>
        <w:spacing w:after="0" w:line="360" w:lineRule="auto"/>
        <w:jc w:val="center"/>
        <w:rPr>
          <w:color w:val="000000" w:themeColor="text1"/>
          <w:lang w:val="en-US"/>
        </w:rPr>
      </w:pPr>
      <w:r w:rsidRPr="00172E83">
        <w:rPr>
          <w:noProof/>
          <w:color w:val="000000" w:themeColor="text1"/>
          <w:lang w:eastAsia="de-DE"/>
        </w:rPr>
        <w:drawing>
          <wp:inline distT="0" distB="0" distL="0" distR="0" wp14:anchorId="130A9CE8" wp14:editId="19321DD7">
            <wp:extent cx="6120130" cy="3770153"/>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120130" cy="3770153"/>
                    </a:xfrm>
                    <a:prstGeom prst="rect">
                      <a:avLst/>
                    </a:prstGeom>
                    <a:noFill/>
                    <a:ln w="9525">
                      <a:noFill/>
                      <a:miter lim="800000"/>
                      <a:headEnd/>
                      <a:tailEnd/>
                    </a:ln>
                  </pic:spPr>
                </pic:pic>
              </a:graphicData>
            </a:graphic>
          </wp:inline>
        </w:drawing>
      </w:r>
    </w:p>
    <w:p w14:paraId="557B1E86" w14:textId="3063F3F3" w:rsidR="00A1744C" w:rsidRPr="00C665AC" w:rsidRDefault="00A1744C" w:rsidP="00C665AC">
      <w:pPr>
        <w:jc w:val="center"/>
        <w:rPr>
          <w:b/>
          <w:color w:val="000000" w:themeColor="text1"/>
          <w:lang w:val="en-GB"/>
        </w:rPr>
      </w:pPr>
      <w:r w:rsidRPr="00172E83">
        <w:rPr>
          <w:b/>
          <w:color w:val="000000" w:themeColor="text1"/>
          <w:lang w:val="en-GB"/>
        </w:rPr>
        <w:t xml:space="preserve">Graph </w:t>
      </w:r>
      <w:r w:rsidR="003E16D9" w:rsidRPr="00172E83">
        <w:rPr>
          <w:b/>
          <w:color w:val="000000" w:themeColor="text1"/>
          <w:lang w:val="en-GB"/>
        </w:rPr>
        <w:t>6</w:t>
      </w:r>
      <w:r w:rsidRPr="00172E83">
        <w:rPr>
          <w:b/>
          <w:color w:val="000000" w:themeColor="text1"/>
          <w:lang w:val="en-GB"/>
        </w:rPr>
        <w:t>. Investors’ net positions in FX futures (number of USD futures contracts)</w:t>
      </w:r>
      <w:r w:rsidRPr="00172E83">
        <w:rPr>
          <w:b/>
          <w:color w:val="000000" w:themeColor="text1"/>
          <w:vertAlign w:val="superscript"/>
          <w:lang w:val="en-GB"/>
        </w:rPr>
        <w:t>(1)</w:t>
      </w:r>
    </w:p>
    <w:p w14:paraId="6F4EED2B" w14:textId="77777777" w:rsidR="00A1744C" w:rsidRPr="00172E83" w:rsidRDefault="00A1744C" w:rsidP="00A1744C">
      <w:pPr>
        <w:spacing w:after="0" w:line="360" w:lineRule="auto"/>
        <w:jc w:val="center"/>
        <w:rPr>
          <w:iCs/>
          <w:color w:val="000000" w:themeColor="text1"/>
        </w:rPr>
      </w:pPr>
      <w:r w:rsidRPr="00172E83">
        <w:rPr>
          <w:noProof/>
          <w:color w:val="000000" w:themeColor="text1"/>
          <w:lang w:val="de-DE" w:eastAsia="de-DE"/>
        </w:rPr>
        <w:drawing>
          <wp:inline distT="0" distB="0" distL="0" distR="0" wp14:anchorId="32AF855E" wp14:editId="129C2CD6">
            <wp:extent cx="4880394" cy="2998879"/>
            <wp:effectExtent l="19050" t="0" r="0" b="0"/>
            <wp:docPr id="1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887246" cy="3003089"/>
                    </a:xfrm>
                    <a:prstGeom prst="rect">
                      <a:avLst/>
                    </a:prstGeom>
                    <a:noFill/>
                    <a:ln w="9525">
                      <a:noFill/>
                      <a:miter lim="800000"/>
                      <a:headEnd/>
                      <a:tailEnd/>
                    </a:ln>
                  </pic:spPr>
                </pic:pic>
              </a:graphicData>
            </a:graphic>
          </wp:inline>
        </w:drawing>
      </w:r>
    </w:p>
    <w:p w14:paraId="41ED7971" w14:textId="77777777" w:rsidR="00B8218B" w:rsidRPr="00172E83" w:rsidRDefault="00B120BE" w:rsidP="00107121">
      <w:pPr>
        <w:pStyle w:val="g-texto"/>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 xml:space="preserve">Nevertheless, </w:t>
      </w:r>
      <w:r w:rsidR="00633D46" w:rsidRPr="00172E83">
        <w:rPr>
          <w:rFonts w:asciiTheme="minorHAnsi" w:hAnsiTheme="minorHAnsi"/>
          <w:color w:val="000000" w:themeColor="text1"/>
          <w:sz w:val="22"/>
          <w:szCs w:val="22"/>
          <w:lang w:val="en-US"/>
        </w:rPr>
        <w:t xml:space="preserve">on the contrary of the pre-crisis context, Brazil did not adopt </w:t>
      </w:r>
      <w:r w:rsidR="004F5888" w:rsidRPr="00172E83">
        <w:rPr>
          <w:rFonts w:asciiTheme="minorHAnsi" w:hAnsiTheme="minorHAnsi"/>
          <w:color w:val="000000" w:themeColor="text1"/>
          <w:sz w:val="22"/>
          <w:szCs w:val="22"/>
          <w:lang w:val="en-US"/>
        </w:rPr>
        <w:t>a hands-off approach to capital inflows</w:t>
      </w:r>
      <w:r w:rsidR="00633D46" w:rsidRPr="00172E83">
        <w:rPr>
          <w:rFonts w:asciiTheme="minorHAnsi" w:hAnsiTheme="minorHAnsi"/>
          <w:color w:val="000000" w:themeColor="text1"/>
          <w:sz w:val="22"/>
          <w:szCs w:val="22"/>
          <w:lang w:val="en-US"/>
        </w:rPr>
        <w:t>. T</w:t>
      </w:r>
      <w:r w:rsidR="00BA035F" w:rsidRPr="00172E83">
        <w:rPr>
          <w:rFonts w:asciiTheme="minorHAnsi" w:hAnsiTheme="minorHAnsi"/>
          <w:color w:val="000000" w:themeColor="text1"/>
          <w:sz w:val="22"/>
          <w:szCs w:val="22"/>
          <w:lang w:val="en-US"/>
        </w:rPr>
        <w:t>he government gradually moved towards a macroeconomic strategy where preventing currency appreciation gained relevance alongside the priority of inflation stabilization. This appreciati</w:t>
      </w:r>
      <w:r w:rsidR="00633D46" w:rsidRPr="00172E83">
        <w:rPr>
          <w:rFonts w:asciiTheme="minorHAnsi" w:hAnsiTheme="minorHAnsi"/>
          <w:color w:val="000000" w:themeColor="text1"/>
          <w:sz w:val="22"/>
          <w:szCs w:val="22"/>
          <w:lang w:val="en-US"/>
        </w:rPr>
        <w:t xml:space="preserve">on became an increasing concern </w:t>
      </w:r>
      <w:r w:rsidR="00BA035F" w:rsidRPr="00172E83">
        <w:rPr>
          <w:rFonts w:asciiTheme="minorHAnsi" w:hAnsiTheme="minorHAnsi"/>
          <w:color w:val="000000" w:themeColor="text1"/>
          <w:sz w:val="22"/>
          <w:szCs w:val="22"/>
          <w:lang w:val="en-US"/>
        </w:rPr>
        <w:t>due to its adverse impact on Brazilian industrial competitiveness which has faced a much greater competition both in the international and domestic markets in the post-crisis setting.</w:t>
      </w:r>
      <w:r w:rsidR="00B8218B" w:rsidRPr="00172E83">
        <w:rPr>
          <w:rFonts w:ascii="Calibri" w:hAnsi="Calibri"/>
          <w:color w:val="000000" w:themeColor="text1"/>
          <w:sz w:val="22"/>
          <w:szCs w:val="22"/>
          <w:lang w:val="en-US"/>
        </w:rPr>
        <w:t xml:space="preserve"> The introduction of CARs with the explicit goal of curbing the appreciation trend of the BRL, yet without giving up the formal strategy of inflation targeting, led to what we call ‘dirty inflation targeting’ – where the exchange rate goal gained increasing room in the definition of </w:t>
      </w:r>
      <w:r w:rsidRPr="00172E83">
        <w:rPr>
          <w:rFonts w:ascii="Calibri" w:hAnsi="Calibri"/>
          <w:color w:val="000000" w:themeColor="text1"/>
          <w:sz w:val="22"/>
          <w:szCs w:val="22"/>
          <w:lang w:val="en-US"/>
        </w:rPr>
        <w:t>the macro</w:t>
      </w:r>
      <w:r w:rsidR="00B8218B" w:rsidRPr="00172E83">
        <w:rPr>
          <w:rFonts w:ascii="Calibri" w:hAnsi="Calibri"/>
          <w:color w:val="000000" w:themeColor="text1"/>
          <w:sz w:val="22"/>
          <w:szCs w:val="22"/>
          <w:lang w:val="en-US"/>
        </w:rPr>
        <w:t>economic policy strategy.</w:t>
      </w:r>
    </w:p>
    <w:p w14:paraId="4E58B067" w14:textId="1CDE35B7" w:rsidR="005A4D4D" w:rsidRPr="00172E83" w:rsidRDefault="00B8218B" w:rsidP="000D7A7D">
      <w:pPr>
        <w:pStyle w:val="Padro"/>
        <w:spacing w:after="120" w:line="360" w:lineRule="auto"/>
        <w:jc w:val="both"/>
        <w:rPr>
          <w:rFonts w:ascii="Calibri" w:hAnsi="Calibri"/>
          <w:color w:val="000000" w:themeColor="text1"/>
          <w:sz w:val="22"/>
          <w:szCs w:val="22"/>
          <w:lang w:val="en-US"/>
        </w:rPr>
      </w:pPr>
      <w:r w:rsidRPr="00172E83">
        <w:rPr>
          <w:rFonts w:ascii="Calibri" w:hAnsi="Calibri"/>
          <w:iCs/>
          <w:color w:val="000000" w:themeColor="text1"/>
          <w:sz w:val="22"/>
          <w:szCs w:val="22"/>
          <w:lang w:val="en-US"/>
        </w:rPr>
        <w:t>I</w:t>
      </w:r>
      <w:r w:rsidR="00BD5C16" w:rsidRPr="00172E83">
        <w:rPr>
          <w:rFonts w:ascii="Calibri" w:hAnsi="Calibri"/>
          <w:iCs/>
          <w:color w:val="000000" w:themeColor="text1"/>
          <w:sz w:val="22"/>
          <w:szCs w:val="22"/>
          <w:lang w:val="en-US"/>
        </w:rPr>
        <w:t>n October 2009 the</w:t>
      </w:r>
      <w:r w:rsidR="00E275C8" w:rsidRPr="00172E83">
        <w:rPr>
          <w:rFonts w:ascii="Calibri" w:hAnsi="Calibri"/>
          <w:iCs/>
          <w:color w:val="000000" w:themeColor="text1"/>
          <w:sz w:val="22"/>
          <w:szCs w:val="22"/>
          <w:lang w:val="en-US"/>
        </w:rPr>
        <w:t xml:space="preserve"> </w:t>
      </w:r>
      <w:r w:rsidR="00BD5C16" w:rsidRPr="00172E83">
        <w:rPr>
          <w:rFonts w:ascii="Calibri" w:hAnsi="Calibri" w:cs="Times New Roman"/>
          <w:color w:val="000000" w:themeColor="text1"/>
          <w:sz w:val="22"/>
          <w:szCs w:val="22"/>
          <w:lang w:val="en-US"/>
        </w:rPr>
        <w:t xml:space="preserve">Brazilian government </w:t>
      </w:r>
      <w:r w:rsidRPr="00172E83">
        <w:rPr>
          <w:rFonts w:ascii="Calibri" w:hAnsi="Calibri" w:cs="Times New Roman"/>
          <w:color w:val="000000" w:themeColor="text1"/>
          <w:sz w:val="22"/>
          <w:szCs w:val="22"/>
          <w:lang w:val="en-US"/>
        </w:rPr>
        <w:t xml:space="preserve">adopted </w:t>
      </w:r>
      <w:r w:rsidR="00BD5C16" w:rsidRPr="00172E83">
        <w:rPr>
          <w:rFonts w:ascii="Calibri" w:hAnsi="Calibri" w:cs="Times New Roman"/>
          <w:color w:val="000000" w:themeColor="text1"/>
          <w:sz w:val="22"/>
          <w:szCs w:val="22"/>
          <w:lang w:val="en-US"/>
        </w:rPr>
        <w:t xml:space="preserve">a light price-based capital control measure </w:t>
      </w:r>
      <w:r w:rsidR="009F1FCE" w:rsidRPr="00172E83">
        <w:rPr>
          <w:rFonts w:ascii="Calibri" w:hAnsi="Calibri"/>
          <w:color w:val="000000" w:themeColor="text1"/>
          <w:sz w:val="22"/>
          <w:szCs w:val="22"/>
          <w:lang w:val="en-US"/>
        </w:rPr>
        <w:t>(see Table 5</w:t>
      </w:r>
      <w:r w:rsidR="00BD5C16" w:rsidRPr="00172E83">
        <w:rPr>
          <w:rFonts w:ascii="Calibri" w:hAnsi="Calibri"/>
          <w:color w:val="000000" w:themeColor="text1"/>
          <w:sz w:val="22"/>
          <w:szCs w:val="22"/>
          <w:lang w:val="en-US"/>
        </w:rPr>
        <w:t>), which was insufficient to curb the curr</w:t>
      </w:r>
      <w:r w:rsidRPr="00172E83">
        <w:rPr>
          <w:rFonts w:ascii="Calibri" w:hAnsi="Calibri"/>
          <w:color w:val="000000" w:themeColor="text1"/>
          <w:sz w:val="22"/>
          <w:szCs w:val="22"/>
          <w:lang w:val="en-US"/>
        </w:rPr>
        <w:t>ency appreciation tre</w:t>
      </w:r>
      <w:r w:rsidR="003E16D9" w:rsidRPr="00172E83">
        <w:rPr>
          <w:rFonts w:ascii="Calibri" w:hAnsi="Calibri"/>
          <w:color w:val="000000" w:themeColor="text1"/>
          <w:sz w:val="22"/>
          <w:szCs w:val="22"/>
          <w:lang w:val="en-US"/>
        </w:rPr>
        <w:t>nd (graph 7</w:t>
      </w:r>
      <w:r w:rsidR="00BD5C16" w:rsidRPr="00172E83">
        <w:rPr>
          <w:rFonts w:ascii="Calibri" w:hAnsi="Calibri"/>
          <w:color w:val="000000" w:themeColor="text1"/>
          <w:sz w:val="22"/>
          <w:szCs w:val="22"/>
          <w:lang w:val="en-US"/>
        </w:rPr>
        <w:t>).</w:t>
      </w:r>
      <w:r w:rsidR="00F82B70" w:rsidRPr="00172E83">
        <w:rPr>
          <w:rFonts w:ascii="Calibri" w:hAnsi="Calibri"/>
          <w:color w:val="000000" w:themeColor="text1"/>
          <w:sz w:val="22"/>
          <w:szCs w:val="22"/>
          <w:lang w:val="en-US"/>
        </w:rPr>
        <w:t xml:space="preserve"> </w:t>
      </w:r>
      <w:r w:rsidR="005A4D4D" w:rsidRPr="00172E83">
        <w:rPr>
          <w:rFonts w:ascii="Calibri" w:hAnsi="Calibri"/>
          <w:color w:val="000000" w:themeColor="text1"/>
          <w:sz w:val="22"/>
          <w:szCs w:val="22"/>
          <w:lang w:val="en-US"/>
        </w:rPr>
        <w:t>Within this macroeconomic setting, t</w:t>
      </w:r>
      <w:r w:rsidR="00F82B70" w:rsidRPr="00172E83">
        <w:rPr>
          <w:rFonts w:ascii="Calibri" w:hAnsi="Calibri"/>
          <w:color w:val="000000" w:themeColor="text1"/>
          <w:sz w:val="22"/>
          <w:szCs w:val="22"/>
          <w:lang w:val="en-US"/>
        </w:rPr>
        <w:t xml:space="preserve">he aim was clearly different from the 1990s, as the statement of Finance Minister </w:t>
      </w:r>
      <w:r w:rsidR="00E728E7" w:rsidRPr="00172E83">
        <w:rPr>
          <w:rFonts w:ascii="Calibri" w:hAnsi="Calibri"/>
          <w:color w:val="000000" w:themeColor="text1"/>
          <w:sz w:val="22"/>
          <w:szCs w:val="22"/>
          <w:lang w:val="en-US"/>
        </w:rPr>
        <w:t xml:space="preserve">Guido </w:t>
      </w:r>
      <w:r w:rsidR="00F82B70" w:rsidRPr="00172E83">
        <w:rPr>
          <w:rFonts w:ascii="Calibri" w:hAnsi="Calibri"/>
          <w:color w:val="000000" w:themeColor="text1"/>
          <w:sz w:val="22"/>
          <w:szCs w:val="22"/>
          <w:lang w:val="en-US"/>
        </w:rPr>
        <w:t>Mantega on October 21, 2009 (the day after the first control was announced) clarifies: “We want to prevent an excessive appreciation of the real. When the real appreciates, it makes our exports more expensive and our imports cheaper, and we already have an expressive increase in imports while the exports are not growing as they should” (cited in Chamon/Garcia 2013: 7).</w:t>
      </w:r>
      <w:r w:rsidR="00BD5C16" w:rsidRPr="00172E83">
        <w:rPr>
          <w:rFonts w:ascii="Calibri" w:hAnsi="Calibri"/>
          <w:color w:val="000000" w:themeColor="text1"/>
          <w:sz w:val="22"/>
          <w:szCs w:val="22"/>
          <w:lang w:val="en-US"/>
        </w:rPr>
        <w:t xml:space="preserve"> </w:t>
      </w:r>
    </w:p>
    <w:p w14:paraId="0A1400EC" w14:textId="77777777" w:rsidR="00AA1B04" w:rsidRPr="00172E83" w:rsidRDefault="00AA1B04" w:rsidP="00AA1B04">
      <w:pPr>
        <w:tabs>
          <w:tab w:val="left" w:pos="1418"/>
        </w:tabs>
        <w:spacing w:after="0" w:line="240" w:lineRule="auto"/>
        <w:jc w:val="center"/>
        <w:rPr>
          <w:rFonts w:ascii="Calibri" w:eastAsia="Times New Roman" w:hAnsi="Calibri" w:cs="Segoe UI"/>
          <w:color w:val="000000" w:themeColor="text1"/>
          <w:lang w:val="en-US" w:eastAsia="en-US"/>
        </w:rPr>
      </w:pPr>
      <w:r w:rsidRPr="00172E83">
        <w:rPr>
          <w:rFonts w:cs="Times New Roman"/>
          <w:b/>
          <w:color w:val="000000" w:themeColor="text1"/>
          <w:lang w:val="en-US"/>
        </w:rPr>
        <w:t>Graph 7:  Brazil: BRL–USD Exchange Rate (nominal) and tighter regulations applied</w:t>
      </w:r>
    </w:p>
    <w:p w14:paraId="715459AF" w14:textId="4C018C74" w:rsidR="00AA1B04" w:rsidRPr="00172E83" w:rsidRDefault="00AA1B04" w:rsidP="000D7A7D">
      <w:pPr>
        <w:pStyle w:val="Padro"/>
        <w:spacing w:after="120" w:line="360" w:lineRule="auto"/>
        <w:jc w:val="both"/>
        <w:rPr>
          <w:rFonts w:ascii="Calibri" w:hAnsi="Calibri"/>
          <w:color w:val="000000" w:themeColor="text1"/>
          <w:sz w:val="22"/>
          <w:szCs w:val="22"/>
          <w:lang w:val="en-US"/>
        </w:rPr>
      </w:pPr>
      <w:r w:rsidRPr="00172E83">
        <w:rPr>
          <w:noProof/>
          <w:color w:val="000000" w:themeColor="text1"/>
          <w:lang w:eastAsia="de-DE"/>
        </w:rPr>
        <w:drawing>
          <wp:inline distT="0" distB="0" distL="0" distR="0" wp14:anchorId="72761DF9" wp14:editId="3868BF83">
            <wp:extent cx="5828306" cy="357797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6" cstate="print"/>
                    <a:srcRect/>
                    <a:stretch>
                      <a:fillRect/>
                    </a:stretch>
                  </pic:blipFill>
                  <pic:spPr bwMode="auto">
                    <a:xfrm>
                      <a:off x="0" y="0"/>
                      <a:ext cx="5833044" cy="3580879"/>
                    </a:xfrm>
                    <a:prstGeom prst="rect">
                      <a:avLst/>
                    </a:prstGeom>
                    <a:noFill/>
                    <a:ln w="9525">
                      <a:noFill/>
                      <a:miter lim="800000"/>
                      <a:headEnd/>
                      <a:tailEnd/>
                    </a:ln>
                  </pic:spPr>
                </pic:pic>
              </a:graphicData>
            </a:graphic>
          </wp:inline>
        </w:drawing>
      </w:r>
    </w:p>
    <w:p w14:paraId="2A474A0D" w14:textId="25C38CF1" w:rsidR="00280BFD" w:rsidRPr="00172E83" w:rsidRDefault="00D67140" w:rsidP="00A95CFC">
      <w:pPr>
        <w:pStyle w:val="Padro"/>
        <w:spacing w:after="120" w:line="360" w:lineRule="auto"/>
        <w:jc w:val="both"/>
        <w:rPr>
          <w:rFonts w:ascii="Calibri" w:hAnsi="Calibri"/>
          <w:color w:val="000000" w:themeColor="text1"/>
          <w:sz w:val="22"/>
          <w:szCs w:val="22"/>
          <w:lang w:val="en-US"/>
        </w:rPr>
      </w:pPr>
      <w:r w:rsidRPr="00172E83">
        <w:rPr>
          <w:rFonts w:ascii="Calibri" w:hAnsi="Calibri"/>
          <w:color w:val="000000" w:themeColor="text1"/>
          <w:sz w:val="22"/>
          <w:szCs w:val="22"/>
          <w:lang w:val="en-US"/>
        </w:rPr>
        <w:t>T</w:t>
      </w:r>
      <w:r w:rsidR="00D757F7" w:rsidRPr="00172E83">
        <w:rPr>
          <w:rFonts w:ascii="Calibri" w:hAnsi="Calibri"/>
          <w:color w:val="000000" w:themeColor="text1"/>
          <w:sz w:val="22"/>
          <w:szCs w:val="22"/>
          <w:lang w:val="en-US"/>
        </w:rPr>
        <w:t xml:space="preserve">he specific features of the Brazilian </w:t>
      </w:r>
      <w:r w:rsidR="000D7A7D" w:rsidRPr="00172E83">
        <w:rPr>
          <w:rFonts w:ascii="Calibri" w:hAnsi="Calibri"/>
          <w:color w:val="000000" w:themeColor="text1"/>
          <w:sz w:val="22"/>
          <w:szCs w:val="22"/>
          <w:lang w:val="en-US"/>
        </w:rPr>
        <w:t xml:space="preserve">financial </w:t>
      </w:r>
      <w:r w:rsidR="00D757F7" w:rsidRPr="00172E83">
        <w:rPr>
          <w:rFonts w:ascii="Calibri" w:hAnsi="Calibri"/>
          <w:color w:val="000000" w:themeColor="text1"/>
          <w:sz w:val="22"/>
          <w:szCs w:val="22"/>
          <w:lang w:val="en-US"/>
        </w:rPr>
        <w:t>market</w:t>
      </w:r>
      <w:r w:rsidR="00B120BE" w:rsidRPr="00172E83">
        <w:rPr>
          <w:rFonts w:ascii="Calibri" w:hAnsi="Calibri"/>
          <w:color w:val="000000" w:themeColor="text1"/>
          <w:sz w:val="22"/>
          <w:szCs w:val="22"/>
          <w:lang w:val="en-US"/>
        </w:rPr>
        <w:t>,</w:t>
      </w:r>
      <w:r w:rsidR="0060765B" w:rsidRPr="00172E83">
        <w:rPr>
          <w:rFonts w:ascii="Calibri" w:hAnsi="Calibri"/>
          <w:color w:val="000000" w:themeColor="text1"/>
          <w:sz w:val="22"/>
          <w:szCs w:val="22"/>
          <w:lang w:val="en-US"/>
        </w:rPr>
        <w:t xml:space="preserve"> mainly, the key role of the FX derivatives market on the exchange rate determination, as mentioned above </w:t>
      </w:r>
      <w:r w:rsidR="00D757F7" w:rsidRPr="00172E83">
        <w:rPr>
          <w:rFonts w:ascii="Calibri" w:hAnsi="Calibri"/>
          <w:color w:val="000000" w:themeColor="text1"/>
          <w:sz w:val="22"/>
          <w:szCs w:val="22"/>
          <w:lang w:val="en-US"/>
        </w:rPr>
        <w:t xml:space="preserve">confronted Brazilian policymakers with greater challenges </w:t>
      </w:r>
      <w:r w:rsidR="000D7A7D" w:rsidRPr="00172E83">
        <w:rPr>
          <w:rFonts w:ascii="Calibri" w:hAnsi="Calibri"/>
          <w:color w:val="000000" w:themeColor="text1"/>
          <w:sz w:val="22"/>
          <w:szCs w:val="22"/>
          <w:lang w:val="en-US"/>
        </w:rPr>
        <w:t xml:space="preserve">to curb the currency appreciation </w:t>
      </w:r>
      <w:r w:rsidR="00D757F7" w:rsidRPr="00172E83">
        <w:rPr>
          <w:rFonts w:ascii="Calibri" w:hAnsi="Calibri"/>
          <w:color w:val="000000" w:themeColor="text1"/>
          <w:sz w:val="22"/>
          <w:szCs w:val="22"/>
          <w:lang w:val="en-US"/>
        </w:rPr>
        <w:t>than those faced by other</w:t>
      </w:r>
      <w:r w:rsidR="007F3C28" w:rsidRPr="00172E83">
        <w:rPr>
          <w:rFonts w:ascii="Calibri" w:hAnsi="Calibri"/>
          <w:color w:val="000000" w:themeColor="text1"/>
          <w:sz w:val="22"/>
          <w:szCs w:val="22"/>
          <w:lang w:val="en-US"/>
        </w:rPr>
        <w:t xml:space="preserve"> emerging economies</w:t>
      </w:r>
      <w:r w:rsidR="0060765B" w:rsidRPr="00172E83">
        <w:rPr>
          <w:rFonts w:ascii="Calibri" w:hAnsi="Calibri"/>
          <w:color w:val="000000" w:themeColor="text1"/>
          <w:sz w:val="22"/>
          <w:szCs w:val="22"/>
          <w:lang w:val="en-US"/>
        </w:rPr>
        <w:t xml:space="preserve"> </w:t>
      </w:r>
      <w:r w:rsidR="00D757F7" w:rsidRPr="00172E83">
        <w:rPr>
          <w:rFonts w:ascii="Calibri" w:hAnsi="Calibri"/>
          <w:color w:val="000000" w:themeColor="text1"/>
          <w:sz w:val="22"/>
          <w:szCs w:val="22"/>
          <w:lang w:val="en-US"/>
        </w:rPr>
        <w:t xml:space="preserve">The Brazilian regulatory authorities recognized these constraints, </w:t>
      </w:r>
      <w:r w:rsidR="003A5FE6" w:rsidRPr="00172E83">
        <w:rPr>
          <w:rFonts w:ascii="Calibri" w:hAnsi="Calibri"/>
          <w:color w:val="000000" w:themeColor="text1"/>
          <w:sz w:val="22"/>
          <w:szCs w:val="22"/>
          <w:lang w:val="en-US"/>
        </w:rPr>
        <w:t>albeit tardily</w:t>
      </w:r>
      <w:r w:rsidR="00D757F7" w:rsidRPr="00172E83">
        <w:rPr>
          <w:rFonts w:ascii="Calibri" w:hAnsi="Calibri"/>
          <w:color w:val="000000" w:themeColor="text1"/>
          <w:sz w:val="22"/>
          <w:szCs w:val="22"/>
          <w:lang w:val="en-US"/>
        </w:rPr>
        <w:t xml:space="preserve">. </w:t>
      </w:r>
      <w:r w:rsidR="00326B73" w:rsidRPr="00172E83">
        <w:rPr>
          <w:rFonts w:ascii="Calibri" w:hAnsi="Calibri"/>
          <w:color w:val="000000" w:themeColor="text1"/>
          <w:sz w:val="22"/>
          <w:szCs w:val="22"/>
          <w:lang w:val="en-US"/>
        </w:rPr>
        <w:t xml:space="preserve">From </w:t>
      </w:r>
      <w:r w:rsidR="00D757F7" w:rsidRPr="00172E83">
        <w:rPr>
          <w:rFonts w:ascii="Calibri" w:hAnsi="Calibri"/>
          <w:color w:val="000000" w:themeColor="text1"/>
          <w:sz w:val="22"/>
          <w:szCs w:val="22"/>
          <w:lang w:val="en-US"/>
        </w:rPr>
        <w:t xml:space="preserve">October 2010 </w:t>
      </w:r>
      <w:r w:rsidR="00326B73" w:rsidRPr="00172E83">
        <w:rPr>
          <w:rFonts w:ascii="Calibri" w:hAnsi="Calibri"/>
          <w:color w:val="000000" w:themeColor="text1"/>
          <w:sz w:val="22"/>
          <w:szCs w:val="22"/>
          <w:lang w:val="en-US"/>
        </w:rPr>
        <w:t xml:space="preserve">to the end of 2012 </w:t>
      </w:r>
      <w:r w:rsidR="00D757F7" w:rsidRPr="00172E83">
        <w:rPr>
          <w:rFonts w:ascii="Calibri" w:hAnsi="Calibri"/>
          <w:color w:val="000000" w:themeColor="text1"/>
          <w:sz w:val="22"/>
          <w:szCs w:val="22"/>
          <w:lang w:val="en-US"/>
        </w:rPr>
        <w:t>th</w:t>
      </w:r>
      <w:r w:rsidR="0060765B" w:rsidRPr="00172E83">
        <w:rPr>
          <w:rFonts w:ascii="Calibri" w:hAnsi="Calibri"/>
          <w:color w:val="000000" w:themeColor="text1"/>
          <w:sz w:val="22"/>
          <w:szCs w:val="22"/>
          <w:lang w:val="en-US"/>
        </w:rPr>
        <w:t xml:space="preserve">ey implemented, along with </w:t>
      </w:r>
      <w:r w:rsidR="00D757F7" w:rsidRPr="00172E83">
        <w:rPr>
          <w:rFonts w:ascii="Calibri" w:hAnsi="Calibri"/>
          <w:color w:val="000000" w:themeColor="text1"/>
          <w:sz w:val="22"/>
          <w:szCs w:val="22"/>
          <w:lang w:val="en-US"/>
        </w:rPr>
        <w:t>capital controls</w:t>
      </w:r>
      <w:r w:rsidR="0060765B" w:rsidRPr="00172E83">
        <w:rPr>
          <w:rFonts w:ascii="Calibri" w:hAnsi="Calibri"/>
          <w:color w:val="000000" w:themeColor="text1"/>
          <w:sz w:val="22"/>
          <w:szCs w:val="22"/>
          <w:lang w:val="en-US"/>
        </w:rPr>
        <w:t xml:space="preserve">, </w:t>
      </w:r>
      <w:r w:rsidR="00D757F7" w:rsidRPr="00172E83">
        <w:rPr>
          <w:rFonts w:ascii="Calibri" w:hAnsi="Calibri"/>
          <w:color w:val="000000" w:themeColor="text1"/>
          <w:sz w:val="22"/>
          <w:szCs w:val="22"/>
          <w:lang w:val="en-US"/>
        </w:rPr>
        <w:t>prudential financial regulations</w:t>
      </w:r>
      <w:r w:rsidR="0060765B" w:rsidRPr="00172E83">
        <w:rPr>
          <w:rFonts w:ascii="Calibri" w:hAnsi="Calibri"/>
          <w:color w:val="000000" w:themeColor="text1"/>
          <w:sz w:val="22"/>
          <w:szCs w:val="22"/>
          <w:lang w:val="en-US"/>
        </w:rPr>
        <w:t xml:space="preserve"> </w:t>
      </w:r>
      <w:r w:rsidR="00D757F7" w:rsidRPr="00172E83">
        <w:rPr>
          <w:rFonts w:ascii="Calibri" w:hAnsi="Calibri"/>
          <w:color w:val="000000" w:themeColor="text1"/>
          <w:sz w:val="22"/>
          <w:szCs w:val="22"/>
          <w:lang w:val="en-US"/>
        </w:rPr>
        <w:t>and FX derivatives regulations (FXDR) which apply to the FX derivatives operations of all agents, be they nonresidents or residents, financial or nonfinancial actors</w:t>
      </w:r>
      <w:r w:rsidR="006135D8" w:rsidRPr="00172E83">
        <w:rPr>
          <w:rFonts w:ascii="Calibri" w:hAnsi="Calibri"/>
          <w:color w:val="000000" w:themeColor="text1"/>
          <w:sz w:val="22"/>
          <w:szCs w:val="22"/>
          <w:lang w:val="en-US"/>
        </w:rPr>
        <w:t xml:space="preserve"> (see Tab</w:t>
      </w:r>
      <w:r w:rsidR="00F75892" w:rsidRPr="00172E83">
        <w:rPr>
          <w:rFonts w:ascii="Calibri" w:hAnsi="Calibri"/>
          <w:color w:val="000000" w:themeColor="text1"/>
          <w:sz w:val="22"/>
          <w:szCs w:val="22"/>
          <w:lang w:val="en-US"/>
        </w:rPr>
        <w:t xml:space="preserve">le </w:t>
      </w:r>
      <w:r w:rsidR="003E16D9" w:rsidRPr="00172E83">
        <w:rPr>
          <w:rFonts w:ascii="Calibri" w:hAnsi="Calibri"/>
          <w:color w:val="000000" w:themeColor="text1"/>
          <w:sz w:val="22"/>
          <w:szCs w:val="22"/>
          <w:lang w:val="en-US"/>
        </w:rPr>
        <w:t>5</w:t>
      </w:r>
      <w:r w:rsidR="006135D8" w:rsidRPr="00172E83">
        <w:rPr>
          <w:rFonts w:ascii="Calibri" w:hAnsi="Calibri"/>
          <w:color w:val="000000" w:themeColor="text1"/>
          <w:sz w:val="22"/>
          <w:szCs w:val="22"/>
          <w:lang w:val="en-US"/>
        </w:rPr>
        <w:t>)</w:t>
      </w:r>
      <w:r w:rsidR="00D757F7" w:rsidRPr="00172E83">
        <w:rPr>
          <w:rFonts w:ascii="Calibri" w:hAnsi="Calibri"/>
          <w:color w:val="000000" w:themeColor="text1"/>
          <w:sz w:val="22"/>
          <w:szCs w:val="22"/>
          <w:lang w:val="en-US"/>
        </w:rPr>
        <w:t>.</w:t>
      </w:r>
      <w:r w:rsidR="002442DB" w:rsidRPr="00172E83">
        <w:rPr>
          <w:rFonts w:ascii="Calibri" w:hAnsi="Calibri"/>
          <w:color w:val="000000" w:themeColor="text1"/>
          <w:sz w:val="22"/>
          <w:szCs w:val="22"/>
          <w:lang w:val="en-US"/>
        </w:rPr>
        <w:t xml:space="preserve"> </w:t>
      </w:r>
    </w:p>
    <w:p w14:paraId="0E0EA3D7" w14:textId="01232D1C" w:rsidR="00280BFD" w:rsidRPr="00172E83" w:rsidRDefault="00651F6D" w:rsidP="00280BFD">
      <w:pPr>
        <w:pStyle w:val="Corpodetexto1"/>
        <w:spacing w:line="100" w:lineRule="atLeast"/>
        <w:rPr>
          <w:rFonts w:ascii="Calibri" w:hAnsi="Calibri" w:cs="Calibri"/>
          <w:b/>
          <w:color w:val="000000" w:themeColor="text1"/>
          <w:sz w:val="22"/>
          <w:szCs w:val="22"/>
          <w:lang w:val="en-GB"/>
        </w:rPr>
      </w:pPr>
      <w:r w:rsidRPr="00172E83">
        <w:rPr>
          <w:rFonts w:ascii="Calibri" w:hAnsi="Calibri" w:cs="Calibri"/>
          <w:b/>
          <w:color w:val="000000" w:themeColor="text1"/>
          <w:sz w:val="22"/>
          <w:szCs w:val="22"/>
          <w:lang w:val="en-GB"/>
        </w:rPr>
        <w:t xml:space="preserve">    </w:t>
      </w:r>
      <w:r w:rsidR="00280BFD" w:rsidRPr="00172E83">
        <w:rPr>
          <w:rFonts w:ascii="Calibri" w:hAnsi="Calibri" w:cs="Calibri"/>
          <w:b/>
          <w:color w:val="000000" w:themeColor="text1"/>
          <w:sz w:val="22"/>
          <w:szCs w:val="22"/>
          <w:lang w:val="en-GB"/>
        </w:rPr>
        <w:t xml:space="preserve">Table </w:t>
      </w:r>
      <w:r w:rsidR="003E16D9" w:rsidRPr="00172E83">
        <w:rPr>
          <w:rFonts w:ascii="Calibri" w:hAnsi="Calibri" w:cs="Calibri"/>
          <w:b/>
          <w:color w:val="000000" w:themeColor="text1"/>
          <w:sz w:val="22"/>
          <w:szCs w:val="22"/>
          <w:lang w:val="en-GB"/>
        </w:rPr>
        <w:t>5</w:t>
      </w:r>
      <w:r w:rsidR="00280BFD" w:rsidRPr="00172E83">
        <w:rPr>
          <w:rFonts w:ascii="Calibri" w:hAnsi="Calibri" w:cs="Calibri"/>
          <w:b/>
          <w:color w:val="000000" w:themeColor="text1"/>
          <w:sz w:val="22"/>
          <w:szCs w:val="22"/>
          <w:lang w:val="en-GB"/>
        </w:rPr>
        <w:t>. Capital Account Regulation 2009-2012</w:t>
      </w:r>
    </w:p>
    <w:p w14:paraId="0BF0A0EE" w14:textId="54387832" w:rsidR="00280BFD" w:rsidRPr="00172E83" w:rsidRDefault="004E7952" w:rsidP="00280BFD">
      <w:pPr>
        <w:pStyle w:val="Padro"/>
        <w:spacing w:after="120" w:line="360" w:lineRule="auto"/>
        <w:rPr>
          <w:rFonts w:ascii="Calibri" w:hAnsi="Calibri"/>
          <w:color w:val="000000" w:themeColor="text1"/>
          <w:sz w:val="22"/>
          <w:szCs w:val="22"/>
          <w:lang w:val="en-US"/>
        </w:rPr>
      </w:pPr>
      <w:r w:rsidRPr="00172E83">
        <w:rPr>
          <w:rFonts w:ascii="Calibri" w:hAnsi="Calibri"/>
          <w:color w:val="000000" w:themeColor="text1"/>
          <w:sz w:val="22"/>
          <w:szCs w:val="22"/>
          <w:lang w:val="en-US"/>
        </w:rPr>
        <w:object w:dxaOrig="9220" w:dyaOrig="10200" w14:anchorId="295A7386">
          <v:shape id="_x0000_i1026" type="#_x0000_t75" style="width:461.25pt;height:511.5pt" o:ole="">
            <v:imagedata r:id="rId17" o:title=""/>
          </v:shape>
          <o:OLEObject Type="Embed" ProgID="Word.Document.12" ShapeID="_x0000_i1026" DrawAspect="Content" ObjectID="_1596365675" r:id="rId18">
            <o:FieldCodes>\s</o:FieldCodes>
          </o:OLEObject>
        </w:object>
      </w:r>
    </w:p>
    <w:p w14:paraId="12C4C3F4" w14:textId="77777777" w:rsidR="00A95CFC" w:rsidRPr="00172E83" w:rsidRDefault="00A95CFC" w:rsidP="00A95CFC">
      <w:pPr>
        <w:pStyle w:val="Padro"/>
        <w:spacing w:after="120" w:line="360" w:lineRule="auto"/>
        <w:jc w:val="both"/>
        <w:rPr>
          <w:rFonts w:ascii="Calibri" w:hAnsi="Calibri"/>
          <w:color w:val="000000" w:themeColor="text1"/>
          <w:sz w:val="22"/>
          <w:szCs w:val="22"/>
          <w:lang w:val="en-US"/>
        </w:rPr>
      </w:pPr>
      <w:r w:rsidRPr="00172E83">
        <w:rPr>
          <w:rFonts w:ascii="Calibri" w:hAnsi="Calibri"/>
          <w:color w:val="000000" w:themeColor="text1"/>
          <w:sz w:val="22"/>
          <w:szCs w:val="22"/>
          <w:lang w:val="en-US"/>
        </w:rPr>
        <w:t>This third class of regulation technique was key in restraining the BRL appreciation trend and, in turn, mitigating the Brazilian government’s economic policy dilemma regarding how to contain the growth rate and inflationary pressures without reinforcing exchange rate appreciation. On the one hand, as FX derivatives are non-deliverable, capital controls do not reach them (the derivative carry trade could be put in place without any effective foreign currency flows). On the other hand, in the face of the predominance of FX futures, prudential financial regulation also proved insufficient to reach FX derivatives operations, as it did not encompass non-resident investors and non-financial resident agents.</w:t>
      </w:r>
    </w:p>
    <w:p w14:paraId="1E0825ED" w14:textId="65177B3F" w:rsidR="005B6667" w:rsidRPr="00172E83" w:rsidRDefault="006D7207" w:rsidP="00280BFD">
      <w:pPr>
        <w:pStyle w:val="Padro"/>
        <w:spacing w:after="120" w:line="360" w:lineRule="auto"/>
        <w:jc w:val="both"/>
        <w:rPr>
          <w:rFonts w:ascii="Calibri" w:hAnsi="Calibri"/>
          <w:color w:val="000000" w:themeColor="text1"/>
          <w:sz w:val="22"/>
          <w:szCs w:val="22"/>
          <w:lang w:val="en-US"/>
        </w:rPr>
      </w:pPr>
      <w:r w:rsidRPr="00172E83">
        <w:rPr>
          <w:rFonts w:ascii="Calibri" w:hAnsi="Calibri"/>
          <w:color w:val="000000" w:themeColor="text1"/>
          <w:sz w:val="22"/>
          <w:szCs w:val="22"/>
          <w:lang w:val="en-US"/>
        </w:rPr>
        <w:t>In October 2010, along with the strengthening of the price-based capital control on portfolio investment, the Brazilian government lau</w:t>
      </w:r>
      <w:r w:rsidR="009F1FCE" w:rsidRPr="00172E83">
        <w:rPr>
          <w:rFonts w:ascii="Calibri" w:hAnsi="Calibri"/>
          <w:color w:val="000000" w:themeColor="text1"/>
          <w:sz w:val="22"/>
          <w:szCs w:val="22"/>
          <w:lang w:val="en-US"/>
        </w:rPr>
        <w:t>nched the first FXDR (see table 5</w:t>
      </w:r>
      <w:r w:rsidRPr="00172E83">
        <w:rPr>
          <w:rFonts w:ascii="Calibri" w:hAnsi="Calibri"/>
          <w:color w:val="000000" w:themeColor="text1"/>
          <w:sz w:val="22"/>
          <w:szCs w:val="22"/>
          <w:lang w:val="en-US"/>
        </w:rPr>
        <w:t>). However, the first rounds of capital controls and FXDR proved insufficient to halt the BRL/USD exchange rate down trend (i. e., BRL appreciation – see Graph 7). This is because as private agents again found loopholes to circumvent these controls, similar to the process during the 1990s, and FXDR were too lightweight to stem the derivatives carry trade, due to the latter’s high degree of leverage. In order to close the loopholes, the Brazilian Central Bank imposed a noninterest reserve requirement (a prudential financial regulation) on FX banks´ positions in January 2010 and an IOF on short-term foreign borrowing in March. However, private agents were able to make longer-term loans in the context of excess of liquidity and searching for yield in the international financial market (</w:t>
      </w:r>
      <w:r w:rsidR="00AA1B04" w:rsidRPr="00172E83">
        <w:rPr>
          <w:rFonts w:ascii="Calibri" w:hAnsi="Calibri"/>
          <w:color w:val="000000" w:themeColor="text1"/>
          <w:sz w:val="22"/>
          <w:szCs w:val="22"/>
          <w:lang w:val="en-US"/>
        </w:rPr>
        <w:t>graph</w:t>
      </w:r>
      <w:r w:rsidR="00AA1B04" w:rsidRPr="00172E83">
        <w:rPr>
          <w:rFonts w:ascii="Calibri" w:hAnsi="Calibri"/>
          <w:color w:val="000000" w:themeColor="text1"/>
          <w:sz w:val="22"/>
          <w:szCs w:val="22"/>
          <w:lang w:val="en-US"/>
        </w:rPr>
        <w:tab/>
        <w:t>8</w:t>
      </w:r>
      <w:r w:rsidRPr="00172E83">
        <w:rPr>
          <w:rFonts w:ascii="Calibri" w:hAnsi="Calibri"/>
          <w:color w:val="000000" w:themeColor="text1"/>
          <w:sz w:val="22"/>
          <w:szCs w:val="22"/>
          <w:lang w:val="en-US"/>
        </w:rPr>
        <w:t>). Hence, in April the government extended the IOF both to this class of foreign loans and to intercompany loans, which is one modality of Foreign Direct Investment (FDI) that had also been used as a way of bypassing CAR</w:t>
      </w:r>
      <w:r w:rsidR="005D2967" w:rsidRPr="00172E83">
        <w:rPr>
          <w:rFonts w:ascii="Calibri" w:hAnsi="Calibri"/>
          <w:color w:val="000000" w:themeColor="text1"/>
          <w:sz w:val="22"/>
          <w:szCs w:val="22"/>
          <w:lang w:val="en-US"/>
        </w:rPr>
        <w:t xml:space="preserve"> (see table </w:t>
      </w:r>
      <w:r w:rsidR="009F1FCE" w:rsidRPr="00172E83">
        <w:rPr>
          <w:rFonts w:ascii="Calibri" w:hAnsi="Calibri"/>
          <w:color w:val="000000" w:themeColor="text1"/>
          <w:sz w:val="22"/>
          <w:szCs w:val="22"/>
          <w:lang w:val="en-US"/>
        </w:rPr>
        <w:t>5</w:t>
      </w:r>
      <w:r w:rsidR="005D2967" w:rsidRPr="00172E83">
        <w:rPr>
          <w:rFonts w:ascii="Calibri" w:hAnsi="Calibri"/>
          <w:color w:val="000000" w:themeColor="text1"/>
          <w:sz w:val="22"/>
          <w:szCs w:val="22"/>
          <w:lang w:val="en-US"/>
        </w:rPr>
        <w:t>)</w:t>
      </w:r>
      <w:r w:rsidRPr="00172E83">
        <w:rPr>
          <w:rFonts w:ascii="Calibri" w:hAnsi="Calibri"/>
          <w:color w:val="000000" w:themeColor="text1"/>
          <w:sz w:val="22"/>
          <w:szCs w:val="22"/>
          <w:lang w:val="en-US"/>
        </w:rPr>
        <w:t>.</w:t>
      </w:r>
    </w:p>
    <w:p w14:paraId="4172A76E" w14:textId="086B6591" w:rsidR="00FA69D0" w:rsidRPr="00172E83" w:rsidRDefault="007D1770" w:rsidP="007D1770">
      <w:pPr>
        <w:pStyle w:val="Padro"/>
        <w:tabs>
          <w:tab w:val="left" w:pos="1418"/>
        </w:tabs>
        <w:spacing w:after="120" w:line="360" w:lineRule="auto"/>
        <w:jc w:val="both"/>
        <w:rPr>
          <w:rFonts w:ascii="Calibri" w:hAnsi="Calibri"/>
          <w:color w:val="000000" w:themeColor="text1"/>
          <w:sz w:val="22"/>
          <w:szCs w:val="22"/>
          <w:lang w:val="en-US"/>
        </w:rPr>
      </w:pPr>
      <w:r w:rsidRPr="00172E83">
        <w:rPr>
          <w:rFonts w:ascii="Calibri" w:hAnsi="Calibri"/>
          <w:color w:val="000000" w:themeColor="text1"/>
          <w:sz w:val="22"/>
          <w:szCs w:val="22"/>
          <w:lang w:val="en-US"/>
        </w:rPr>
        <w:t xml:space="preserve">Yet, until the first half of 2011, the CAR and FXDR adopted so far mainly impacted the composition of inflows rather than their volume and did not stop the BRL appreciation, its main policy goal (see Graphs </w:t>
      </w:r>
      <w:r w:rsidR="00AA1B04" w:rsidRPr="00172E83">
        <w:rPr>
          <w:rFonts w:ascii="Calibri" w:hAnsi="Calibri"/>
          <w:color w:val="000000" w:themeColor="text1"/>
          <w:sz w:val="22"/>
          <w:szCs w:val="22"/>
          <w:lang w:val="en-US"/>
        </w:rPr>
        <w:t>7</w:t>
      </w:r>
      <w:r w:rsidRPr="00172E83">
        <w:rPr>
          <w:rFonts w:ascii="Calibri" w:hAnsi="Calibri"/>
          <w:color w:val="000000" w:themeColor="text1"/>
          <w:sz w:val="22"/>
          <w:szCs w:val="22"/>
          <w:lang w:val="en-US"/>
        </w:rPr>
        <w:t xml:space="preserve"> and </w:t>
      </w:r>
      <w:r w:rsidR="00AA1B04" w:rsidRPr="00172E83">
        <w:rPr>
          <w:rFonts w:ascii="Calibri" w:hAnsi="Calibri"/>
          <w:color w:val="000000" w:themeColor="text1"/>
          <w:sz w:val="22"/>
          <w:szCs w:val="22"/>
          <w:lang w:val="en-US"/>
        </w:rPr>
        <w:t>8</w:t>
      </w:r>
      <w:r w:rsidRPr="00172E83">
        <w:rPr>
          <w:rFonts w:ascii="Calibri" w:hAnsi="Calibri"/>
          <w:color w:val="000000" w:themeColor="text1"/>
          <w:sz w:val="22"/>
          <w:szCs w:val="22"/>
          <w:lang w:val="en-US"/>
        </w:rPr>
        <w:t xml:space="preserve">). </w:t>
      </w:r>
      <w:r w:rsidR="00D013CE" w:rsidRPr="00172E83">
        <w:rPr>
          <w:rFonts w:ascii="Calibri" w:hAnsi="Calibri"/>
          <w:color w:val="000000" w:themeColor="text1"/>
          <w:sz w:val="22"/>
          <w:szCs w:val="22"/>
          <w:lang w:val="en-US"/>
        </w:rPr>
        <w:t>As for</w:t>
      </w:r>
      <w:r w:rsidR="00D757F7" w:rsidRPr="00172E83">
        <w:rPr>
          <w:rFonts w:ascii="Calibri" w:hAnsi="Calibri"/>
          <w:color w:val="000000" w:themeColor="text1"/>
          <w:sz w:val="22"/>
          <w:szCs w:val="22"/>
          <w:lang w:val="en-US"/>
        </w:rPr>
        <w:t xml:space="preserve"> the currency appreciation trend, the turning point was</w:t>
      </w:r>
      <w:r w:rsidR="00D013CE" w:rsidRPr="00172E83">
        <w:rPr>
          <w:rFonts w:ascii="Calibri" w:hAnsi="Calibri"/>
          <w:color w:val="000000" w:themeColor="text1"/>
          <w:sz w:val="22"/>
          <w:szCs w:val="22"/>
          <w:lang w:val="en-US"/>
        </w:rPr>
        <w:t xml:space="preserve"> in</w:t>
      </w:r>
      <w:r w:rsidRPr="00172E83">
        <w:rPr>
          <w:rFonts w:ascii="Calibri" w:hAnsi="Calibri"/>
          <w:color w:val="000000" w:themeColor="text1"/>
          <w:sz w:val="22"/>
          <w:szCs w:val="22"/>
          <w:lang w:val="en-US"/>
        </w:rPr>
        <w:t xml:space="preserve"> July</w:t>
      </w:r>
      <w:r w:rsidR="00D757F7" w:rsidRPr="00172E83">
        <w:rPr>
          <w:rFonts w:ascii="Calibri" w:hAnsi="Calibri"/>
          <w:color w:val="000000" w:themeColor="text1"/>
          <w:sz w:val="22"/>
          <w:szCs w:val="22"/>
          <w:lang w:val="en-US"/>
        </w:rPr>
        <w:t>, when a broader set of FX derivatives regulation</w:t>
      </w:r>
      <w:r w:rsidR="003F0F4B" w:rsidRPr="00172E83">
        <w:rPr>
          <w:rFonts w:ascii="Calibri" w:hAnsi="Calibri"/>
          <w:color w:val="000000" w:themeColor="text1"/>
          <w:sz w:val="22"/>
          <w:szCs w:val="22"/>
          <w:lang w:val="en-US"/>
        </w:rPr>
        <w:t>s</w:t>
      </w:r>
      <w:r w:rsidRPr="00172E83">
        <w:rPr>
          <w:rFonts w:ascii="Calibri" w:hAnsi="Calibri"/>
          <w:color w:val="000000" w:themeColor="text1"/>
          <w:sz w:val="22"/>
          <w:szCs w:val="22"/>
          <w:lang w:val="en-US"/>
        </w:rPr>
        <w:t xml:space="preserve"> was launched. On 29 July 2011</w:t>
      </w:r>
      <w:r w:rsidR="00D757F7" w:rsidRPr="00172E83">
        <w:rPr>
          <w:rFonts w:ascii="Calibri" w:hAnsi="Calibri"/>
          <w:color w:val="000000" w:themeColor="text1"/>
          <w:sz w:val="22"/>
          <w:szCs w:val="22"/>
          <w:lang w:val="en-US"/>
        </w:rPr>
        <w:t xml:space="preserve">, the Ministry of Finance adopted a financial tax of 1 percent on excessively long positions on BRL in the FX derivatives market (see table </w:t>
      </w:r>
      <w:r w:rsidR="009F1FCE" w:rsidRPr="00172E83">
        <w:rPr>
          <w:rFonts w:ascii="Calibri" w:hAnsi="Calibri"/>
          <w:color w:val="000000" w:themeColor="text1"/>
          <w:sz w:val="22"/>
          <w:szCs w:val="22"/>
          <w:lang w:val="en-US"/>
        </w:rPr>
        <w:t>5</w:t>
      </w:r>
      <w:r w:rsidR="00D757F7" w:rsidRPr="00172E83">
        <w:rPr>
          <w:rFonts w:ascii="Calibri" w:hAnsi="Calibri"/>
          <w:color w:val="000000" w:themeColor="text1"/>
          <w:sz w:val="22"/>
          <w:szCs w:val="22"/>
          <w:lang w:val="en-US"/>
        </w:rPr>
        <w:t>). As this tax is calculated on the notional value of the FX derivatives operations, it ha</w:t>
      </w:r>
      <w:r w:rsidR="005A4D4D" w:rsidRPr="00172E83">
        <w:rPr>
          <w:rFonts w:ascii="Calibri" w:hAnsi="Calibri"/>
          <w:color w:val="000000" w:themeColor="text1"/>
          <w:sz w:val="22"/>
          <w:szCs w:val="22"/>
          <w:lang w:val="en-US"/>
        </w:rPr>
        <w:t>d</w:t>
      </w:r>
      <w:r w:rsidR="00D757F7" w:rsidRPr="00172E83">
        <w:rPr>
          <w:rFonts w:ascii="Calibri" w:hAnsi="Calibri"/>
          <w:color w:val="000000" w:themeColor="text1"/>
          <w:sz w:val="22"/>
          <w:szCs w:val="22"/>
          <w:lang w:val="en-US"/>
        </w:rPr>
        <w:t xml:space="preserve"> a major impact on the derivatives carry trade. </w:t>
      </w:r>
      <w:r w:rsidR="00CB6A41" w:rsidRPr="00172E83">
        <w:rPr>
          <w:rFonts w:ascii="Calibri" w:hAnsi="Calibri"/>
          <w:color w:val="000000" w:themeColor="text1"/>
          <w:sz w:val="22"/>
          <w:szCs w:val="22"/>
          <w:lang w:val="en-US"/>
        </w:rPr>
        <w:t>S</w:t>
      </w:r>
      <w:r w:rsidR="003F0F4B" w:rsidRPr="00172E83">
        <w:rPr>
          <w:rFonts w:ascii="Calibri" w:hAnsi="Calibri"/>
          <w:color w:val="000000" w:themeColor="text1"/>
          <w:sz w:val="22"/>
          <w:szCs w:val="22"/>
          <w:lang w:val="en-US"/>
        </w:rPr>
        <w:t>hortly after this was enforced</w:t>
      </w:r>
      <w:r w:rsidR="00D757F7" w:rsidRPr="00172E83">
        <w:rPr>
          <w:rFonts w:ascii="Calibri" w:hAnsi="Calibri"/>
          <w:color w:val="000000" w:themeColor="text1"/>
          <w:sz w:val="22"/>
          <w:szCs w:val="22"/>
          <w:lang w:val="en-US"/>
        </w:rPr>
        <w:t xml:space="preserve">, the Brazilian currency </w:t>
      </w:r>
      <w:r w:rsidR="003F0F4B" w:rsidRPr="00172E83">
        <w:rPr>
          <w:rFonts w:ascii="Calibri" w:hAnsi="Calibri"/>
          <w:color w:val="000000" w:themeColor="text1"/>
          <w:sz w:val="22"/>
          <w:szCs w:val="22"/>
          <w:lang w:val="en-US"/>
        </w:rPr>
        <w:t>began</w:t>
      </w:r>
      <w:r w:rsidR="00D757F7" w:rsidRPr="00172E83">
        <w:rPr>
          <w:rFonts w:ascii="Calibri" w:hAnsi="Calibri"/>
          <w:color w:val="000000" w:themeColor="text1"/>
          <w:sz w:val="22"/>
          <w:szCs w:val="22"/>
          <w:lang w:val="en-US"/>
        </w:rPr>
        <w:t xml:space="preserve"> depreciat</w:t>
      </w:r>
      <w:r w:rsidR="003F0F4B" w:rsidRPr="00172E83">
        <w:rPr>
          <w:rFonts w:ascii="Calibri" w:hAnsi="Calibri"/>
          <w:color w:val="000000" w:themeColor="text1"/>
          <w:sz w:val="22"/>
          <w:szCs w:val="22"/>
          <w:lang w:val="en-US"/>
        </w:rPr>
        <w:t>ing</w:t>
      </w:r>
      <w:r w:rsidR="00D757F7" w:rsidRPr="00172E83">
        <w:rPr>
          <w:rFonts w:ascii="Calibri" w:hAnsi="Calibri"/>
          <w:color w:val="000000" w:themeColor="text1"/>
          <w:sz w:val="22"/>
          <w:szCs w:val="22"/>
          <w:lang w:val="en-US"/>
        </w:rPr>
        <w:t xml:space="preserve">, </w:t>
      </w:r>
      <w:r w:rsidR="003F0F4B" w:rsidRPr="00172E83">
        <w:rPr>
          <w:rFonts w:ascii="Calibri" w:hAnsi="Calibri"/>
          <w:color w:val="000000" w:themeColor="text1"/>
          <w:sz w:val="22"/>
          <w:szCs w:val="22"/>
          <w:lang w:val="en-US"/>
        </w:rPr>
        <w:t>prior to</w:t>
      </w:r>
      <w:r w:rsidR="00D757F7" w:rsidRPr="00172E83">
        <w:rPr>
          <w:rFonts w:ascii="Calibri" w:hAnsi="Calibri"/>
          <w:color w:val="000000" w:themeColor="text1"/>
          <w:sz w:val="22"/>
          <w:szCs w:val="22"/>
          <w:lang w:val="en-US"/>
        </w:rPr>
        <w:t xml:space="preserve"> the loosening of the monetary policy</w:t>
      </w:r>
      <w:r w:rsidR="00CB6A41" w:rsidRPr="00172E83">
        <w:rPr>
          <w:rFonts w:ascii="Calibri" w:hAnsi="Calibri"/>
          <w:color w:val="000000" w:themeColor="text1"/>
          <w:sz w:val="22"/>
          <w:szCs w:val="22"/>
          <w:lang w:val="en-US"/>
        </w:rPr>
        <w:t xml:space="preserve"> in August (see Graph </w:t>
      </w:r>
      <w:r w:rsidR="00AA1B04" w:rsidRPr="00172E83">
        <w:rPr>
          <w:rFonts w:ascii="Calibri" w:hAnsi="Calibri"/>
          <w:color w:val="000000" w:themeColor="text1"/>
          <w:sz w:val="22"/>
          <w:szCs w:val="22"/>
          <w:lang w:val="en-US"/>
        </w:rPr>
        <w:t>7</w:t>
      </w:r>
      <w:r w:rsidR="00CB6A41" w:rsidRPr="00172E83">
        <w:rPr>
          <w:rFonts w:ascii="Calibri" w:hAnsi="Calibri"/>
          <w:color w:val="000000" w:themeColor="text1"/>
          <w:sz w:val="22"/>
          <w:szCs w:val="22"/>
          <w:lang w:val="en-US"/>
        </w:rPr>
        <w:t>)</w:t>
      </w:r>
      <w:r w:rsidR="00D757F7" w:rsidRPr="00172E83">
        <w:rPr>
          <w:rFonts w:ascii="Calibri" w:hAnsi="Calibri"/>
          <w:color w:val="000000" w:themeColor="text1"/>
          <w:sz w:val="22"/>
          <w:szCs w:val="22"/>
          <w:lang w:val="en-US"/>
        </w:rPr>
        <w:t xml:space="preserve">. </w:t>
      </w:r>
      <w:r w:rsidR="003F0F4B" w:rsidRPr="00172E83">
        <w:rPr>
          <w:rFonts w:ascii="Calibri" w:hAnsi="Calibri"/>
          <w:color w:val="000000" w:themeColor="text1"/>
          <w:sz w:val="22"/>
          <w:szCs w:val="22"/>
          <w:lang w:val="en-US"/>
        </w:rPr>
        <w:t xml:space="preserve">Since </w:t>
      </w:r>
      <w:r w:rsidR="00D757F7" w:rsidRPr="00172E83">
        <w:rPr>
          <w:rFonts w:ascii="Calibri" w:hAnsi="Calibri"/>
          <w:color w:val="000000" w:themeColor="text1"/>
          <w:sz w:val="22"/>
          <w:szCs w:val="22"/>
          <w:lang w:val="en-US"/>
        </w:rPr>
        <w:t xml:space="preserve">the end of August, the depreciation trend </w:t>
      </w:r>
      <w:r w:rsidR="005A4D4D" w:rsidRPr="00172E83">
        <w:rPr>
          <w:rFonts w:ascii="Calibri" w:hAnsi="Calibri"/>
          <w:color w:val="000000" w:themeColor="text1"/>
          <w:sz w:val="22"/>
          <w:szCs w:val="22"/>
          <w:lang w:val="en-US"/>
        </w:rPr>
        <w:t xml:space="preserve">was </w:t>
      </w:r>
      <w:r w:rsidR="00D757F7" w:rsidRPr="00172E83">
        <w:rPr>
          <w:rFonts w:ascii="Calibri" w:hAnsi="Calibri"/>
          <w:color w:val="000000" w:themeColor="text1"/>
          <w:sz w:val="22"/>
          <w:szCs w:val="22"/>
          <w:lang w:val="en-US"/>
        </w:rPr>
        <w:t xml:space="preserve">fostered by the policy rate reductions (Graph </w:t>
      </w:r>
      <w:r w:rsidR="00AA1B04" w:rsidRPr="00172E83">
        <w:rPr>
          <w:rFonts w:ascii="Calibri" w:hAnsi="Calibri"/>
          <w:color w:val="000000" w:themeColor="text1"/>
          <w:sz w:val="22"/>
          <w:szCs w:val="22"/>
          <w:lang w:val="en-US"/>
        </w:rPr>
        <w:t>5</w:t>
      </w:r>
      <w:r w:rsidR="00D757F7" w:rsidRPr="00172E83">
        <w:rPr>
          <w:rFonts w:ascii="Calibri" w:hAnsi="Calibri"/>
          <w:color w:val="000000" w:themeColor="text1"/>
          <w:sz w:val="22"/>
          <w:szCs w:val="22"/>
          <w:lang w:val="en-US"/>
        </w:rPr>
        <w:t xml:space="preserve">) and the increase in the risk aversion of foreign agents due to the worsening of the Euro crisis in the second half of 2011. </w:t>
      </w:r>
    </w:p>
    <w:p w14:paraId="40D5F2E3" w14:textId="18EBB073" w:rsidR="006D7207" w:rsidRPr="00172E83" w:rsidRDefault="003E16D9" w:rsidP="006D7207">
      <w:pPr>
        <w:tabs>
          <w:tab w:val="left" w:pos="1418"/>
        </w:tabs>
        <w:spacing w:after="0" w:line="240" w:lineRule="auto"/>
        <w:jc w:val="center"/>
        <w:rPr>
          <w:color w:val="000000" w:themeColor="text1"/>
          <w:lang w:val="en-GB"/>
        </w:rPr>
      </w:pPr>
      <w:r w:rsidRPr="00172E83">
        <w:rPr>
          <w:b/>
          <w:color w:val="000000" w:themeColor="text1"/>
          <w:lang w:val="en-GB"/>
        </w:rPr>
        <w:t>Graph 8</w:t>
      </w:r>
      <w:r w:rsidR="006D7207" w:rsidRPr="00172E83">
        <w:rPr>
          <w:b/>
          <w:color w:val="000000" w:themeColor="text1"/>
          <w:lang w:val="en-GB"/>
        </w:rPr>
        <w:t>. Net inflows – 3-month average (USD billion)</w:t>
      </w:r>
      <w:r w:rsidR="006D7207" w:rsidRPr="00172E83">
        <w:rPr>
          <w:noProof/>
          <w:color w:val="000000" w:themeColor="text1"/>
          <w:lang w:val="de-DE" w:eastAsia="de-DE"/>
        </w:rPr>
        <w:drawing>
          <wp:inline distT="0" distB="0" distL="0" distR="0" wp14:anchorId="6AD3CCDF" wp14:editId="5A67821E">
            <wp:extent cx="4743450" cy="2929136"/>
            <wp:effectExtent l="19050" t="0" r="0"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746949" cy="2931297"/>
                    </a:xfrm>
                    <a:prstGeom prst="rect">
                      <a:avLst/>
                    </a:prstGeom>
                    <a:noFill/>
                    <a:ln w="9525">
                      <a:noFill/>
                      <a:miter lim="800000"/>
                      <a:headEnd/>
                      <a:tailEnd/>
                    </a:ln>
                  </pic:spPr>
                </pic:pic>
              </a:graphicData>
            </a:graphic>
          </wp:inline>
        </w:drawing>
      </w:r>
    </w:p>
    <w:p w14:paraId="057A532F" w14:textId="77777777" w:rsidR="006D7207" w:rsidRPr="00172E83" w:rsidRDefault="006D7207" w:rsidP="007D1770">
      <w:pPr>
        <w:pStyle w:val="Padro"/>
        <w:tabs>
          <w:tab w:val="left" w:pos="1418"/>
        </w:tabs>
        <w:spacing w:after="120" w:line="360" w:lineRule="auto"/>
        <w:jc w:val="both"/>
        <w:rPr>
          <w:rFonts w:ascii="Calibri" w:hAnsi="Calibri"/>
          <w:color w:val="000000" w:themeColor="text1"/>
          <w:sz w:val="22"/>
          <w:szCs w:val="22"/>
          <w:lang w:val="en-US"/>
        </w:rPr>
      </w:pPr>
    </w:p>
    <w:p w14:paraId="7145C431" w14:textId="439CD0BB" w:rsidR="00FA69D0" w:rsidRPr="00172E83" w:rsidRDefault="008C02CD" w:rsidP="00280BFD">
      <w:pPr>
        <w:pStyle w:val="Padro"/>
        <w:tabs>
          <w:tab w:val="left" w:pos="1418"/>
        </w:tabs>
        <w:spacing w:after="120" w:line="360" w:lineRule="auto"/>
        <w:jc w:val="both"/>
        <w:rPr>
          <w:rFonts w:ascii="Calibri" w:hAnsi="Calibri"/>
          <w:color w:val="000000" w:themeColor="text1"/>
          <w:sz w:val="22"/>
          <w:szCs w:val="22"/>
          <w:lang w:val="en-US"/>
        </w:rPr>
      </w:pPr>
      <w:r w:rsidRPr="00172E83">
        <w:rPr>
          <w:rFonts w:ascii="Calibri" w:hAnsi="Calibri" w:cs="Calibri"/>
          <w:color w:val="000000" w:themeColor="text1"/>
          <w:sz w:val="22"/>
          <w:szCs w:val="22"/>
          <w:lang w:val="en-GB"/>
        </w:rPr>
        <w:t xml:space="preserve">Hence, despite the higher financial openness and financial market sophistication, in a setting of </w:t>
      </w:r>
      <w:r w:rsidR="00614E83" w:rsidRPr="00172E83">
        <w:rPr>
          <w:rFonts w:ascii="Calibri" w:hAnsi="Calibri" w:cs="Calibri"/>
          <w:color w:val="000000" w:themeColor="text1"/>
          <w:sz w:val="22"/>
          <w:szCs w:val="22"/>
          <w:lang w:val="en-GB"/>
        </w:rPr>
        <w:t xml:space="preserve">eased </w:t>
      </w:r>
      <w:r w:rsidRPr="00172E83">
        <w:rPr>
          <w:rFonts w:ascii="Calibri" w:hAnsi="Calibri" w:cs="Calibri"/>
          <w:color w:val="000000" w:themeColor="text1"/>
          <w:sz w:val="22"/>
          <w:szCs w:val="22"/>
          <w:lang w:val="en-GB"/>
        </w:rPr>
        <w:t>macroeconomic constraints (mainly, the lower external vulnerability)</w:t>
      </w:r>
      <w:r w:rsidR="00226349" w:rsidRPr="00172E83">
        <w:rPr>
          <w:rFonts w:ascii="Calibri" w:hAnsi="Calibri" w:cs="Calibri"/>
          <w:color w:val="000000" w:themeColor="text1"/>
          <w:sz w:val="22"/>
          <w:szCs w:val="22"/>
          <w:lang w:val="en-GB"/>
        </w:rPr>
        <w:t xml:space="preserve">, </w:t>
      </w:r>
      <w:r w:rsidR="00226349" w:rsidRPr="00172E83">
        <w:rPr>
          <w:rFonts w:ascii="Calibri" w:hAnsi="Calibri"/>
          <w:color w:val="000000" w:themeColor="text1"/>
          <w:sz w:val="22"/>
          <w:szCs w:val="22"/>
          <w:lang w:val="en-US"/>
        </w:rPr>
        <w:t>the Brazilian</w:t>
      </w:r>
      <w:r w:rsidR="00483EDD" w:rsidRPr="00172E83">
        <w:rPr>
          <w:rFonts w:ascii="Calibri" w:hAnsi="Calibri"/>
          <w:color w:val="000000" w:themeColor="text1"/>
          <w:sz w:val="22"/>
          <w:szCs w:val="22"/>
          <w:lang w:val="en-US"/>
        </w:rPr>
        <w:t xml:space="preserve"> government </w:t>
      </w:r>
      <w:r w:rsidR="00226349" w:rsidRPr="00172E83">
        <w:rPr>
          <w:rFonts w:ascii="Calibri" w:hAnsi="Calibri"/>
          <w:color w:val="000000" w:themeColor="text1"/>
          <w:sz w:val="22"/>
          <w:szCs w:val="22"/>
          <w:lang w:val="en-US"/>
        </w:rPr>
        <w:t>had the policy space to launch a</w:t>
      </w:r>
      <w:r w:rsidR="00D757F7" w:rsidRPr="00172E83">
        <w:rPr>
          <w:rFonts w:ascii="Calibri" w:hAnsi="Calibri"/>
          <w:color w:val="000000" w:themeColor="text1"/>
          <w:sz w:val="22"/>
          <w:szCs w:val="22"/>
          <w:lang w:val="en-US"/>
        </w:rPr>
        <w:t xml:space="preserve"> </w:t>
      </w:r>
      <w:r w:rsidRPr="00172E83">
        <w:rPr>
          <w:rFonts w:ascii="Calibri" w:hAnsi="Calibri"/>
          <w:color w:val="000000" w:themeColor="text1"/>
          <w:sz w:val="22"/>
          <w:szCs w:val="22"/>
          <w:lang w:val="en-US"/>
        </w:rPr>
        <w:t>broad</w:t>
      </w:r>
      <w:r w:rsidR="00280BFD" w:rsidRPr="00172E83">
        <w:rPr>
          <w:rFonts w:ascii="Calibri" w:hAnsi="Calibri"/>
          <w:color w:val="000000" w:themeColor="text1"/>
          <w:sz w:val="22"/>
          <w:szCs w:val="22"/>
          <w:lang w:val="en-US"/>
        </w:rPr>
        <w:t>er class</w:t>
      </w:r>
      <w:r w:rsidR="00226349" w:rsidRPr="00172E83">
        <w:rPr>
          <w:rFonts w:ascii="Calibri" w:hAnsi="Calibri"/>
          <w:color w:val="000000" w:themeColor="text1"/>
          <w:sz w:val="22"/>
          <w:szCs w:val="22"/>
          <w:lang w:val="en-US"/>
        </w:rPr>
        <w:t xml:space="preserve"> of </w:t>
      </w:r>
      <w:r w:rsidR="00D757F7" w:rsidRPr="00172E83">
        <w:rPr>
          <w:rFonts w:ascii="Calibri" w:hAnsi="Calibri"/>
          <w:color w:val="000000" w:themeColor="text1"/>
          <w:sz w:val="22"/>
          <w:szCs w:val="22"/>
          <w:lang w:val="en-US"/>
        </w:rPr>
        <w:t xml:space="preserve">regulations to </w:t>
      </w:r>
      <w:r w:rsidR="00226349" w:rsidRPr="00172E83">
        <w:rPr>
          <w:rFonts w:ascii="Calibri" w:hAnsi="Calibri"/>
          <w:color w:val="000000" w:themeColor="text1"/>
          <w:sz w:val="22"/>
          <w:szCs w:val="22"/>
          <w:lang w:val="en-US"/>
        </w:rPr>
        <w:t xml:space="preserve">reach the aims of the macroeconomic regime in force </w:t>
      </w:r>
      <w:r w:rsidR="009F1FCE" w:rsidRPr="00172E83">
        <w:rPr>
          <w:rFonts w:ascii="Calibri" w:hAnsi="Calibri"/>
          <w:color w:val="000000" w:themeColor="text1"/>
          <w:sz w:val="22"/>
          <w:szCs w:val="22"/>
          <w:lang w:val="en-US"/>
        </w:rPr>
        <w:t>(see Table 6</w:t>
      </w:r>
      <w:r w:rsidR="00226349" w:rsidRPr="00172E83">
        <w:rPr>
          <w:rFonts w:ascii="Calibri" w:hAnsi="Calibri"/>
          <w:color w:val="000000" w:themeColor="text1"/>
          <w:sz w:val="22"/>
          <w:szCs w:val="22"/>
          <w:lang w:val="en-US"/>
        </w:rPr>
        <w:t>)</w:t>
      </w:r>
      <w:r w:rsidR="00AE315E" w:rsidRPr="00172E83">
        <w:rPr>
          <w:rStyle w:val="Funotenzeichen"/>
          <w:rFonts w:ascii="Calibri" w:hAnsi="Calibri"/>
          <w:color w:val="000000" w:themeColor="text1"/>
          <w:sz w:val="22"/>
          <w:szCs w:val="22"/>
          <w:lang w:val="en-US"/>
        </w:rPr>
        <w:footnoteReference w:id="12"/>
      </w:r>
      <w:r w:rsidR="00226349" w:rsidRPr="00172E83">
        <w:rPr>
          <w:rFonts w:ascii="Calibri" w:hAnsi="Calibri"/>
          <w:color w:val="000000" w:themeColor="text1"/>
          <w:sz w:val="22"/>
          <w:szCs w:val="22"/>
          <w:lang w:val="en-US"/>
        </w:rPr>
        <w:t xml:space="preserve">. Moreover, </w:t>
      </w:r>
      <w:r w:rsidR="00280BFD" w:rsidRPr="00172E83">
        <w:rPr>
          <w:rFonts w:ascii="Calibri" w:hAnsi="Calibri"/>
          <w:color w:val="000000" w:themeColor="text1"/>
          <w:sz w:val="22"/>
          <w:szCs w:val="22"/>
          <w:lang w:val="en-US"/>
        </w:rPr>
        <w:t>there are feedback effects between these regulations and the macroeconomic policies. The</w:t>
      </w:r>
      <w:r w:rsidR="00D757F7" w:rsidRPr="00172E83">
        <w:rPr>
          <w:rFonts w:ascii="Calibri" w:hAnsi="Calibri"/>
          <w:color w:val="000000" w:themeColor="text1"/>
          <w:sz w:val="22"/>
          <w:szCs w:val="22"/>
          <w:lang w:val="en-US"/>
        </w:rPr>
        <w:t xml:space="preserve"> FX</w:t>
      </w:r>
      <w:r w:rsidR="00CF0028" w:rsidRPr="00172E83">
        <w:rPr>
          <w:rFonts w:ascii="Calibri" w:hAnsi="Calibri"/>
          <w:color w:val="000000" w:themeColor="text1"/>
          <w:sz w:val="22"/>
          <w:szCs w:val="22"/>
          <w:lang w:val="en-US"/>
        </w:rPr>
        <w:t>DR</w:t>
      </w:r>
      <w:r w:rsidR="00D757F7" w:rsidRPr="00172E83">
        <w:rPr>
          <w:rFonts w:ascii="Calibri" w:hAnsi="Calibri"/>
          <w:color w:val="000000" w:themeColor="text1"/>
          <w:sz w:val="22"/>
          <w:szCs w:val="22"/>
          <w:lang w:val="en-US"/>
        </w:rPr>
        <w:t xml:space="preserve"> may have amplified the effects of the policy rate drops between August 2011 and October 2012 o</w:t>
      </w:r>
      <w:r w:rsidR="002442DB" w:rsidRPr="00172E83">
        <w:rPr>
          <w:rFonts w:ascii="Calibri" w:hAnsi="Calibri"/>
          <w:color w:val="000000" w:themeColor="text1"/>
          <w:sz w:val="22"/>
          <w:szCs w:val="22"/>
          <w:lang w:val="en-US"/>
        </w:rPr>
        <w:t xml:space="preserve">n the BRL/USD exchange rate. </w:t>
      </w:r>
      <w:r w:rsidR="00D4353A" w:rsidRPr="00172E83">
        <w:rPr>
          <w:rFonts w:ascii="Calibri" w:hAnsi="Calibri"/>
          <w:color w:val="000000" w:themeColor="text1"/>
          <w:sz w:val="22"/>
          <w:szCs w:val="22"/>
          <w:lang w:val="en-US"/>
        </w:rPr>
        <w:t>In this new external and domestic setting,</w:t>
      </w:r>
      <w:r w:rsidR="00FA69D0" w:rsidRPr="00172E83">
        <w:rPr>
          <w:rFonts w:ascii="Calibri" w:hAnsi="Calibri"/>
          <w:color w:val="000000" w:themeColor="text1"/>
          <w:sz w:val="22"/>
          <w:szCs w:val="22"/>
          <w:lang w:val="en-US"/>
        </w:rPr>
        <w:t xml:space="preserve"> (lower policy rate and stable exchange rate, and broad regulatory framework), </w:t>
      </w:r>
      <w:r w:rsidR="00D4353A" w:rsidRPr="00172E83">
        <w:rPr>
          <w:rFonts w:ascii="Calibri" w:hAnsi="Calibri"/>
          <w:color w:val="000000" w:themeColor="text1"/>
          <w:sz w:val="22"/>
          <w:szCs w:val="22"/>
          <w:lang w:val="en-US"/>
        </w:rPr>
        <w:t>both financial flows and derivatives carry trade operations</w:t>
      </w:r>
      <w:r w:rsidR="00AC3574" w:rsidRPr="00172E83">
        <w:rPr>
          <w:rFonts w:ascii="Calibri" w:hAnsi="Calibri"/>
          <w:color w:val="000000" w:themeColor="text1"/>
          <w:sz w:val="22"/>
          <w:szCs w:val="22"/>
          <w:lang w:val="en-US"/>
        </w:rPr>
        <w:t xml:space="preserve"> dwindled (graphs </w:t>
      </w:r>
      <w:r w:rsidR="009F1FCE" w:rsidRPr="00172E83">
        <w:rPr>
          <w:rFonts w:ascii="Calibri" w:hAnsi="Calibri"/>
          <w:color w:val="000000" w:themeColor="text1"/>
          <w:sz w:val="22"/>
          <w:szCs w:val="22"/>
          <w:lang w:val="en-US"/>
        </w:rPr>
        <w:t>6</w:t>
      </w:r>
      <w:r w:rsidR="00AC3574" w:rsidRPr="00172E83">
        <w:rPr>
          <w:rFonts w:ascii="Calibri" w:hAnsi="Calibri"/>
          <w:color w:val="000000" w:themeColor="text1"/>
          <w:sz w:val="22"/>
          <w:szCs w:val="22"/>
          <w:lang w:val="en-US"/>
        </w:rPr>
        <w:t xml:space="preserve"> and </w:t>
      </w:r>
      <w:r w:rsidR="009F1FCE" w:rsidRPr="00172E83">
        <w:rPr>
          <w:rFonts w:ascii="Calibri" w:hAnsi="Calibri"/>
          <w:color w:val="000000" w:themeColor="text1"/>
          <w:sz w:val="22"/>
          <w:szCs w:val="22"/>
          <w:lang w:val="en-US"/>
        </w:rPr>
        <w:t>8</w:t>
      </w:r>
      <w:r w:rsidR="00AC3574" w:rsidRPr="00172E83">
        <w:rPr>
          <w:rFonts w:ascii="Calibri" w:hAnsi="Calibri"/>
          <w:color w:val="000000" w:themeColor="text1"/>
          <w:sz w:val="22"/>
          <w:szCs w:val="22"/>
          <w:lang w:val="en-US"/>
        </w:rPr>
        <w:t>).</w:t>
      </w:r>
      <w:r w:rsidRPr="00172E83">
        <w:rPr>
          <w:rFonts w:ascii="Calibri" w:hAnsi="Calibri"/>
          <w:color w:val="000000" w:themeColor="text1"/>
          <w:sz w:val="22"/>
          <w:szCs w:val="22"/>
          <w:lang w:val="en-US"/>
        </w:rPr>
        <w:t xml:space="preserve"> </w:t>
      </w:r>
    </w:p>
    <w:p w14:paraId="1C848DCE" w14:textId="2675FB4E" w:rsidR="00FB0CD9" w:rsidRPr="00172E83" w:rsidRDefault="00603BA3" w:rsidP="00603BA3">
      <w:pPr>
        <w:pStyle w:val="Padro"/>
        <w:spacing w:after="0"/>
        <w:jc w:val="both"/>
        <w:rPr>
          <w:rFonts w:ascii="Calibri" w:eastAsia="Calibri" w:hAnsi="Calibri" w:cs="Arial"/>
          <w:b/>
          <w:bCs/>
          <w:color w:val="000000" w:themeColor="text1"/>
          <w:kern w:val="24"/>
          <w:szCs w:val="32"/>
          <w:lang w:eastAsia="pt-BR"/>
        </w:rPr>
      </w:pPr>
      <w:r w:rsidRPr="00172E83">
        <w:rPr>
          <w:rFonts w:ascii="Calibri" w:hAnsi="Calibri"/>
          <w:b/>
          <w:iCs/>
          <w:color w:val="000000" w:themeColor="text1"/>
          <w:sz w:val="22"/>
          <w:szCs w:val="22"/>
          <w:lang w:val="en-US"/>
        </w:rPr>
        <w:t xml:space="preserve">Table </w:t>
      </w:r>
      <w:r w:rsidR="003E16D9" w:rsidRPr="00172E83">
        <w:rPr>
          <w:rFonts w:ascii="Calibri" w:hAnsi="Calibri"/>
          <w:b/>
          <w:iCs/>
          <w:color w:val="000000" w:themeColor="text1"/>
          <w:sz w:val="22"/>
          <w:szCs w:val="22"/>
          <w:lang w:val="en-US"/>
        </w:rPr>
        <w:t>6</w:t>
      </w:r>
      <w:r w:rsidR="00797CB5" w:rsidRPr="00172E83">
        <w:rPr>
          <w:rFonts w:ascii="Calibri" w:hAnsi="Calibri"/>
          <w:b/>
          <w:iCs/>
          <w:color w:val="000000" w:themeColor="text1"/>
          <w:sz w:val="22"/>
          <w:szCs w:val="22"/>
          <w:lang w:val="en-US"/>
        </w:rPr>
        <w:t>.</w:t>
      </w:r>
      <w:r w:rsidR="00483EDD" w:rsidRPr="00172E83">
        <w:rPr>
          <w:rFonts w:ascii="Calibri" w:eastAsia="Calibri" w:hAnsi="Calibri" w:cs="Arial"/>
          <w:b/>
          <w:bCs/>
          <w:color w:val="000000" w:themeColor="text1"/>
          <w:kern w:val="24"/>
          <w:szCs w:val="32"/>
          <w:lang w:eastAsia="pt-BR"/>
        </w:rPr>
        <w:t xml:space="preserve"> </w:t>
      </w:r>
      <w:r w:rsidR="0025652E" w:rsidRPr="00172E83">
        <w:rPr>
          <w:rFonts w:ascii="Calibri" w:eastAsia="Calibri" w:hAnsi="Calibri" w:cs="Arial"/>
          <w:b/>
          <w:bCs/>
          <w:color w:val="000000" w:themeColor="text1"/>
          <w:kern w:val="24"/>
          <w:szCs w:val="32"/>
          <w:lang w:eastAsia="pt-BR"/>
        </w:rPr>
        <w:t>Brazil 2</w:t>
      </w:r>
      <w:r w:rsidR="00483EDD" w:rsidRPr="00172E83">
        <w:rPr>
          <w:rFonts w:ascii="Calibri" w:eastAsia="Calibri" w:hAnsi="Calibri" w:cs="Arial"/>
          <w:b/>
          <w:bCs/>
          <w:color w:val="000000" w:themeColor="text1"/>
          <w:kern w:val="24"/>
          <w:szCs w:val="32"/>
          <w:lang w:eastAsia="pt-BR"/>
        </w:rPr>
        <w:t>00</w:t>
      </w:r>
      <w:r w:rsidR="0025652E" w:rsidRPr="00172E83">
        <w:rPr>
          <w:rFonts w:ascii="Calibri" w:eastAsia="Calibri" w:hAnsi="Calibri" w:cs="Arial"/>
          <w:b/>
          <w:bCs/>
          <w:color w:val="000000" w:themeColor="text1"/>
          <w:kern w:val="24"/>
          <w:szCs w:val="32"/>
          <w:lang w:eastAsia="pt-BR"/>
        </w:rPr>
        <w:t>0</w:t>
      </w:r>
      <w:r w:rsidR="00483EDD" w:rsidRPr="00172E83">
        <w:rPr>
          <w:rFonts w:ascii="Calibri" w:eastAsia="Calibri" w:hAnsi="Calibri" w:cs="Arial"/>
          <w:b/>
          <w:bCs/>
          <w:color w:val="000000" w:themeColor="text1"/>
          <w:kern w:val="24"/>
          <w:szCs w:val="32"/>
          <w:lang w:eastAsia="pt-BR"/>
        </w:rPr>
        <w:t>s</w:t>
      </w:r>
    </w:p>
    <w:tbl>
      <w:tblPr>
        <w:tblW w:w="9923" w:type="dxa"/>
        <w:tblInd w:w="-148" w:type="dxa"/>
        <w:tblCellMar>
          <w:left w:w="0" w:type="dxa"/>
          <w:right w:w="0" w:type="dxa"/>
        </w:tblCellMar>
        <w:tblLook w:val="04A0" w:firstRow="1" w:lastRow="0" w:firstColumn="1" w:lastColumn="0" w:noHBand="0" w:noVBand="1"/>
      </w:tblPr>
      <w:tblGrid>
        <w:gridCol w:w="5671"/>
        <w:gridCol w:w="4252"/>
      </w:tblGrid>
      <w:tr w:rsidR="00172E83" w:rsidRPr="00172E83" w14:paraId="0B551930" w14:textId="77777777" w:rsidTr="00E34C6D">
        <w:trPr>
          <w:trHeight w:val="356"/>
        </w:trPr>
        <w:tc>
          <w:tcPr>
            <w:tcW w:w="9923" w:type="dxa"/>
            <w:gridSpan w:val="2"/>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tcPr>
          <w:p w14:paraId="7887C31D" w14:textId="77777777" w:rsidR="004764C9" w:rsidRPr="00172E83" w:rsidRDefault="004764C9" w:rsidP="00E34C6D">
            <w:pPr>
              <w:spacing w:after="0"/>
              <w:jc w:val="center"/>
              <w:rPr>
                <w:rFonts w:ascii="Arial" w:eastAsia="Times New Roman" w:hAnsi="Arial" w:cs="Arial"/>
                <w:color w:val="000000" w:themeColor="text1"/>
                <w:sz w:val="24"/>
                <w:szCs w:val="36"/>
                <w:lang w:val="en-US" w:eastAsia="pt-BR"/>
              </w:rPr>
            </w:pPr>
            <w:r w:rsidRPr="00172E83">
              <w:rPr>
                <w:rFonts w:ascii="Calibri" w:eastAsia="Calibri" w:hAnsi="Calibri" w:cs="Arial"/>
                <w:b/>
                <w:bCs/>
                <w:color w:val="000000" w:themeColor="text1"/>
                <w:kern w:val="24"/>
                <w:sz w:val="24"/>
                <w:szCs w:val="32"/>
                <w:lang w:val="en-US" w:eastAsia="pt-BR"/>
              </w:rPr>
              <w:t>Macroeconomic constraints</w:t>
            </w:r>
          </w:p>
        </w:tc>
      </w:tr>
      <w:tr w:rsidR="00172E83" w:rsidRPr="00172E83" w14:paraId="4CBC590A" w14:textId="77777777" w:rsidTr="00E34C6D">
        <w:trPr>
          <w:trHeight w:val="351"/>
        </w:trPr>
        <w:tc>
          <w:tcPr>
            <w:tcW w:w="9923" w:type="dxa"/>
            <w:gridSpan w:val="2"/>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tcPr>
          <w:p w14:paraId="5972CBF3" w14:textId="1201C9BA" w:rsidR="004764C9" w:rsidRPr="00172E83" w:rsidRDefault="004764C9" w:rsidP="004764C9">
            <w:pPr>
              <w:pStyle w:val="Listenabsatz"/>
              <w:numPr>
                <w:ilvl w:val="0"/>
                <w:numId w:val="17"/>
              </w:numPr>
              <w:spacing w:after="0"/>
              <w:rPr>
                <w:rFonts w:ascii="Arial" w:hAnsi="Arial" w:cs="Arial"/>
                <w:color w:val="000000" w:themeColor="text1"/>
                <w:szCs w:val="36"/>
                <w:lang w:val="en-US" w:eastAsia="pt-BR"/>
              </w:rPr>
            </w:pPr>
            <w:r w:rsidRPr="00172E83">
              <w:rPr>
                <w:rFonts w:ascii="Calibri" w:eastAsia="Calibri" w:hAnsi="Calibri" w:cs="Arial"/>
                <w:bCs/>
                <w:color w:val="000000" w:themeColor="text1"/>
                <w:kern w:val="24"/>
                <w:szCs w:val="32"/>
                <w:lang w:val="en-US" w:eastAsia="pt-BR"/>
              </w:rPr>
              <w:t xml:space="preserve">FX </w:t>
            </w:r>
            <w:r w:rsidR="00421706">
              <w:rPr>
                <w:rFonts w:ascii="Calibri" w:eastAsia="Calibri" w:hAnsi="Calibri" w:cs="Arial"/>
                <w:bCs/>
                <w:color w:val="000000" w:themeColor="text1"/>
                <w:kern w:val="24"/>
                <w:szCs w:val="32"/>
                <w:lang w:val="en-US" w:eastAsia="pt-BR"/>
              </w:rPr>
              <w:t xml:space="preserve">higher than external debt, but current account deficit </w:t>
            </w:r>
            <w:r w:rsidRPr="00172E83">
              <w:rPr>
                <w:rFonts w:ascii="Calibri" w:eastAsia="Calibri" w:hAnsi="Calibri" w:cs="Arial"/>
                <w:bCs/>
                <w:color w:val="000000" w:themeColor="text1"/>
                <w:kern w:val="24"/>
                <w:szCs w:val="32"/>
                <w:lang w:val="en-US" w:eastAsia="pt-BR"/>
              </w:rPr>
              <w:t xml:space="preserve">increasing </w:t>
            </w:r>
          </w:p>
          <w:p w14:paraId="5AB3FE68" w14:textId="78C2EDF2" w:rsidR="004764C9" w:rsidRPr="00172E83" w:rsidRDefault="004764C9" w:rsidP="004764C9">
            <w:pPr>
              <w:pStyle w:val="Listenabsatz"/>
              <w:numPr>
                <w:ilvl w:val="0"/>
                <w:numId w:val="17"/>
              </w:numPr>
              <w:spacing w:after="0"/>
              <w:rPr>
                <w:rFonts w:ascii="Arial" w:hAnsi="Arial" w:cs="Arial"/>
                <w:color w:val="000000" w:themeColor="text1"/>
                <w:szCs w:val="36"/>
                <w:lang w:val="en-US" w:eastAsia="pt-BR"/>
              </w:rPr>
            </w:pPr>
            <w:r w:rsidRPr="00172E83">
              <w:rPr>
                <w:rFonts w:ascii="Calibri" w:eastAsia="Calibri" w:hAnsi="Calibri" w:cs="Arial"/>
                <w:bCs/>
                <w:color w:val="000000" w:themeColor="text1"/>
                <w:kern w:val="24"/>
                <w:szCs w:val="32"/>
                <w:lang w:val="en-US" w:eastAsia="pt-BR"/>
              </w:rPr>
              <w:t>Moderated inflation</w:t>
            </w:r>
          </w:p>
          <w:p w14:paraId="4633CFEC" w14:textId="09B1B561" w:rsidR="004764C9" w:rsidRPr="00172E83" w:rsidRDefault="004764C9" w:rsidP="00E34C6D">
            <w:pPr>
              <w:spacing w:after="0"/>
              <w:rPr>
                <w:rFonts w:ascii="Calibri" w:eastAsia="Calibri" w:hAnsi="Calibri" w:cs="Arial"/>
                <w:b/>
                <w:bCs/>
                <w:color w:val="000000" w:themeColor="text1"/>
                <w:kern w:val="24"/>
                <w:sz w:val="24"/>
                <w:szCs w:val="32"/>
                <w:lang w:val="en-US" w:eastAsia="pt-BR"/>
              </w:rPr>
            </w:pPr>
          </w:p>
        </w:tc>
      </w:tr>
      <w:tr w:rsidR="00172E83" w:rsidRPr="00172E83" w14:paraId="46C2F6E0" w14:textId="77777777" w:rsidTr="00E34C6D">
        <w:trPr>
          <w:trHeight w:val="356"/>
        </w:trPr>
        <w:tc>
          <w:tcPr>
            <w:tcW w:w="9923" w:type="dxa"/>
            <w:gridSpan w:val="2"/>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tcPr>
          <w:p w14:paraId="70B0B955" w14:textId="77777777" w:rsidR="004764C9" w:rsidRPr="00172E83" w:rsidRDefault="004764C9" w:rsidP="00E34C6D">
            <w:pPr>
              <w:spacing w:after="0"/>
              <w:jc w:val="center"/>
              <w:rPr>
                <w:rFonts w:ascii="Calibri" w:eastAsia="Calibri" w:hAnsi="Calibri" w:cs="Arial"/>
                <w:b/>
                <w:bCs/>
                <w:color w:val="000000" w:themeColor="text1"/>
                <w:kern w:val="24"/>
                <w:sz w:val="24"/>
                <w:szCs w:val="32"/>
                <w:lang w:val="en-US" w:eastAsia="pt-BR"/>
              </w:rPr>
            </w:pPr>
            <w:r w:rsidRPr="00172E83">
              <w:rPr>
                <w:rFonts w:ascii="Calibri" w:eastAsia="Calibri" w:hAnsi="Calibri" w:cs="Arial"/>
                <w:b/>
                <w:bCs/>
                <w:color w:val="000000" w:themeColor="text1"/>
                <w:kern w:val="24"/>
                <w:sz w:val="24"/>
                <w:szCs w:val="32"/>
                <w:lang w:val="en-US" w:eastAsia="pt-BR"/>
              </w:rPr>
              <w:t>Macroeconomic Regime</w:t>
            </w:r>
          </w:p>
        </w:tc>
      </w:tr>
      <w:tr w:rsidR="00172E83" w:rsidRPr="006D09DE" w14:paraId="4BD6C789" w14:textId="77777777" w:rsidTr="00E34C6D">
        <w:trPr>
          <w:trHeight w:val="5206"/>
        </w:trPr>
        <w:tc>
          <w:tcPr>
            <w:tcW w:w="5671" w:type="dxa"/>
            <w:tcBorders>
              <w:top w:val="single" w:sz="24" w:space="0" w:color="FFFFFF"/>
              <w:left w:val="single" w:sz="8" w:space="0" w:color="FFFFFF"/>
              <w:bottom w:val="single" w:sz="8" w:space="0" w:color="FFFFFF"/>
              <w:right w:val="single" w:sz="8" w:space="0" w:color="FFFFFF"/>
            </w:tcBorders>
            <w:shd w:val="clear" w:color="auto" w:fill="A6A6A6" w:themeFill="background1" w:themeFillShade="A6"/>
            <w:tcMar>
              <w:top w:w="15" w:type="dxa"/>
              <w:left w:w="108" w:type="dxa"/>
              <w:bottom w:w="0" w:type="dxa"/>
              <w:right w:w="108" w:type="dxa"/>
            </w:tcMar>
          </w:tcPr>
          <w:p w14:paraId="4137A3B6" w14:textId="77777777" w:rsidR="004764C9" w:rsidRPr="00172E83" w:rsidRDefault="004764C9" w:rsidP="00E34C6D">
            <w:pPr>
              <w:spacing w:after="0"/>
              <w:rPr>
                <w:rFonts w:ascii="Calibri" w:eastAsia="Calibri" w:hAnsi="Calibri" w:cs="Arial"/>
                <w:b/>
                <w:bCs/>
                <w:i/>
                <w:color w:val="000000" w:themeColor="text1"/>
                <w:kern w:val="24"/>
                <w:sz w:val="24"/>
                <w:szCs w:val="32"/>
                <w:lang w:val="en-US" w:eastAsia="pt-BR"/>
              </w:rPr>
            </w:pPr>
            <w:r w:rsidRPr="00172E83">
              <w:rPr>
                <w:rFonts w:ascii="Calibri" w:eastAsia="Calibri" w:hAnsi="Calibri" w:cs="Arial"/>
                <w:b/>
                <w:bCs/>
                <w:color w:val="000000" w:themeColor="text1"/>
                <w:kern w:val="24"/>
                <w:sz w:val="24"/>
                <w:szCs w:val="32"/>
                <w:lang w:val="en-US" w:eastAsia="pt-BR"/>
              </w:rPr>
              <w:t xml:space="preserve">Macroeconomic policy: </w:t>
            </w:r>
          </w:p>
          <w:p w14:paraId="69E6793C" w14:textId="736DB5B9" w:rsidR="004764C9" w:rsidRPr="00172E83" w:rsidRDefault="004764C9" w:rsidP="00E34C6D">
            <w:pPr>
              <w:spacing w:after="0"/>
              <w:rPr>
                <w:rFonts w:ascii="Arial" w:eastAsia="Times New Roman" w:hAnsi="Arial" w:cs="Arial"/>
                <w:color w:val="000000" w:themeColor="text1"/>
                <w:sz w:val="24"/>
                <w:szCs w:val="36"/>
                <w:lang w:val="en-US" w:eastAsia="pt-BR"/>
              </w:rPr>
            </w:pPr>
            <w:r w:rsidRPr="00172E83">
              <w:rPr>
                <w:rFonts w:ascii="Calibri" w:eastAsia="Calibri" w:hAnsi="Calibri" w:cs="Arial"/>
                <w:b/>
                <w:bCs/>
                <w:color w:val="000000" w:themeColor="text1"/>
                <w:kern w:val="24"/>
                <w:sz w:val="24"/>
                <w:szCs w:val="32"/>
                <w:lang w:val="en-US" w:eastAsia="pt-BR"/>
              </w:rPr>
              <w:t xml:space="preserve">Dirty Inflation targeting </w:t>
            </w:r>
            <w:r w:rsidRPr="00172E83">
              <w:rPr>
                <w:rFonts w:ascii="Calibri" w:eastAsia="Calibri" w:hAnsi="Calibri" w:cs="Arial"/>
                <w:b/>
                <w:bCs/>
                <w:color w:val="000000" w:themeColor="text1"/>
                <w:kern w:val="24"/>
                <w:sz w:val="24"/>
                <w:szCs w:val="40"/>
                <w:lang w:val="en-US" w:eastAsia="pt-BR"/>
              </w:rPr>
              <w:br/>
            </w:r>
            <w:r w:rsidRPr="00172E83">
              <w:rPr>
                <w:rFonts w:ascii="Calibri" w:eastAsia="Calibri" w:hAnsi="Calibri" w:cs="Arial"/>
                <w:b/>
                <w:bCs/>
                <w:i/>
                <w:color w:val="000000" w:themeColor="text1"/>
                <w:kern w:val="24"/>
                <w:sz w:val="24"/>
                <w:szCs w:val="32"/>
                <w:lang w:val="en-US" w:eastAsia="pt-BR"/>
              </w:rPr>
              <w:t xml:space="preserve">   </w:t>
            </w:r>
            <w:r w:rsidRPr="00172E83">
              <w:rPr>
                <w:rFonts w:ascii="Calibri" w:eastAsia="Calibri" w:hAnsi="Calibri" w:cs="Arial"/>
                <w:bCs/>
                <w:i/>
                <w:color w:val="000000" w:themeColor="text1"/>
                <w:kern w:val="24"/>
                <w:sz w:val="24"/>
                <w:szCs w:val="32"/>
                <w:lang w:val="en-US" w:eastAsia="pt-BR"/>
              </w:rPr>
              <w:t>Aim:</w:t>
            </w:r>
            <w:r w:rsidRPr="00172E83">
              <w:rPr>
                <w:rFonts w:ascii="Calibri" w:eastAsia="Calibri" w:hAnsi="Calibri" w:cs="Arial"/>
                <w:bCs/>
                <w:color w:val="000000" w:themeColor="text1"/>
                <w:kern w:val="24"/>
                <w:sz w:val="24"/>
                <w:szCs w:val="32"/>
                <w:lang w:val="en-US" w:eastAsia="pt-BR"/>
              </w:rPr>
              <w:t xml:space="preserve"> Inflation control with priority also to RER</w:t>
            </w:r>
          </w:p>
          <w:p w14:paraId="49C5D4E1" w14:textId="2D387E85" w:rsidR="004764C9" w:rsidRPr="00172E83" w:rsidRDefault="004764C9" w:rsidP="00E34C6D">
            <w:pPr>
              <w:spacing w:after="0"/>
              <w:rPr>
                <w:rFonts w:ascii="Arial" w:eastAsia="Times New Roman" w:hAnsi="Arial" w:cs="Arial"/>
                <w:color w:val="000000" w:themeColor="text1"/>
                <w:sz w:val="24"/>
                <w:szCs w:val="36"/>
                <w:lang w:val="en-US" w:eastAsia="pt-BR"/>
              </w:rPr>
            </w:pPr>
            <w:r w:rsidRPr="00172E83">
              <w:rPr>
                <w:rFonts w:ascii="Calibri" w:eastAsia="Calibri" w:hAnsi="Calibri" w:cs="Arial"/>
                <w:bCs/>
                <w:i/>
                <w:color w:val="000000" w:themeColor="text1"/>
                <w:kern w:val="24"/>
                <w:sz w:val="24"/>
                <w:szCs w:val="32"/>
                <w:lang w:val="en-US" w:eastAsia="pt-BR"/>
              </w:rPr>
              <w:t>   Target</w:t>
            </w:r>
            <w:r w:rsidRPr="00172E83">
              <w:rPr>
                <w:rFonts w:ascii="Segoe UI" w:eastAsia="Times New Roman" w:hAnsi="Segoe UI" w:cs="Segoe UI"/>
                <w:bCs/>
                <w:color w:val="000000" w:themeColor="text1"/>
                <w:kern w:val="24"/>
                <w:sz w:val="24"/>
                <w:szCs w:val="36"/>
                <w:lang w:val="en-US" w:eastAsia="pt-BR"/>
              </w:rPr>
              <w:t xml:space="preserve">: </w:t>
            </w:r>
            <w:r w:rsidRPr="00172E83">
              <w:rPr>
                <w:rFonts w:ascii="Calibri" w:eastAsia="Calibri" w:hAnsi="Calibri" w:cs="Arial"/>
                <w:bCs/>
                <w:color w:val="000000" w:themeColor="text1"/>
                <w:kern w:val="24"/>
                <w:sz w:val="24"/>
                <w:szCs w:val="32"/>
                <w:lang w:val="en-US" w:eastAsia="pt-BR"/>
              </w:rPr>
              <w:t xml:space="preserve">Inflation and nominal exchange rate </w:t>
            </w:r>
          </w:p>
          <w:p w14:paraId="45848CA9" w14:textId="77777777" w:rsidR="004764C9" w:rsidRPr="00172E83" w:rsidRDefault="004764C9" w:rsidP="00E34C6D">
            <w:pPr>
              <w:spacing w:after="0"/>
              <w:rPr>
                <w:rFonts w:ascii="Calibri" w:eastAsia="Calibri" w:hAnsi="Calibri" w:cs="Arial"/>
                <w:bCs/>
                <w:color w:val="000000" w:themeColor="text1"/>
                <w:kern w:val="24"/>
                <w:sz w:val="24"/>
                <w:szCs w:val="32"/>
                <w:lang w:val="en-US" w:eastAsia="pt-BR"/>
              </w:rPr>
            </w:pPr>
            <w:r w:rsidRPr="00172E83">
              <w:rPr>
                <w:rFonts w:ascii="Calibri" w:eastAsia="Calibri" w:hAnsi="Calibri" w:cs="Arial"/>
                <w:bCs/>
                <w:color w:val="000000" w:themeColor="text1"/>
                <w:kern w:val="24"/>
                <w:sz w:val="24"/>
                <w:szCs w:val="32"/>
                <w:lang w:val="en-US" w:eastAsia="pt-BR"/>
              </w:rPr>
              <w:t xml:space="preserve">    </w:t>
            </w:r>
            <w:r w:rsidRPr="00172E83">
              <w:rPr>
                <w:rFonts w:ascii="Calibri" w:eastAsia="Calibri" w:hAnsi="Calibri" w:cs="Arial"/>
                <w:bCs/>
                <w:i/>
                <w:color w:val="000000" w:themeColor="text1"/>
                <w:kern w:val="24"/>
                <w:sz w:val="24"/>
                <w:szCs w:val="32"/>
                <w:lang w:val="en-US" w:eastAsia="pt-BR"/>
              </w:rPr>
              <w:t>Tools</w:t>
            </w:r>
            <w:r w:rsidRPr="00172E83">
              <w:rPr>
                <w:rFonts w:ascii="Calibri" w:eastAsia="Calibri" w:hAnsi="Calibri" w:cs="Arial"/>
                <w:bCs/>
                <w:color w:val="000000" w:themeColor="text1"/>
                <w:kern w:val="24"/>
                <w:sz w:val="24"/>
                <w:szCs w:val="32"/>
                <w:lang w:val="en-US" w:eastAsia="pt-BR"/>
              </w:rPr>
              <w:t xml:space="preserve">: </w:t>
            </w:r>
          </w:p>
          <w:p w14:paraId="09150FD5" w14:textId="283E1B88" w:rsidR="004764C9" w:rsidRPr="00172E83" w:rsidRDefault="004764C9" w:rsidP="00E34C6D">
            <w:pPr>
              <w:spacing w:after="0"/>
              <w:rPr>
                <w:rFonts w:ascii="Calibri" w:eastAsia="Calibri" w:hAnsi="Calibri" w:cs="Arial"/>
                <w:bCs/>
                <w:color w:val="000000" w:themeColor="text1"/>
                <w:kern w:val="24"/>
                <w:sz w:val="24"/>
                <w:szCs w:val="32"/>
                <w:lang w:val="en-US" w:eastAsia="pt-BR"/>
              </w:rPr>
            </w:pPr>
            <w:r w:rsidRPr="00172E83">
              <w:rPr>
                <w:rFonts w:ascii="Calibri" w:eastAsia="Calibri" w:hAnsi="Calibri" w:cs="Arial"/>
                <w:bCs/>
                <w:color w:val="000000" w:themeColor="text1"/>
                <w:kern w:val="24"/>
                <w:sz w:val="24"/>
                <w:szCs w:val="32"/>
                <w:lang w:val="en-US" w:eastAsia="pt-BR"/>
              </w:rPr>
              <w:t xml:space="preserve">         - Monetary and exchange rate policy</w:t>
            </w:r>
          </w:p>
          <w:p w14:paraId="080D0917" w14:textId="77777777" w:rsidR="004764C9" w:rsidRPr="00172E83" w:rsidRDefault="004764C9" w:rsidP="00E34C6D">
            <w:pPr>
              <w:spacing w:after="0" w:line="240" w:lineRule="auto"/>
              <w:rPr>
                <w:rFonts w:ascii="Calibri" w:eastAsia="Calibri" w:hAnsi="Calibri" w:cs="Arial"/>
                <w:bCs/>
                <w:color w:val="000000" w:themeColor="text1"/>
                <w:kern w:val="24"/>
                <w:sz w:val="24"/>
                <w:szCs w:val="32"/>
                <w:lang w:val="en-US" w:eastAsia="pt-BR"/>
              </w:rPr>
            </w:pPr>
            <w:r w:rsidRPr="00172E83">
              <w:rPr>
                <w:rFonts w:ascii="Calibri" w:eastAsia="Calibri" w:hAnsi="Calibri" w:cs="Arial"/>
                <w:b/>
                <w:bCs/>
                <w:color w:val="000000" w:themeColor="text1"/>
                <w:kern w:val="24"/>
                <w:sz w:val="24"/>
                <w:szCs w:val="32"/>
                <w:lang w:val="en-US" w:eastAsia="pt-BR"/>
              </w:rPr>
              <w:t xml:space="preserve">         - </w:t>
            </w:r>
            <w:r w:rsidRPr="00172E83">
              <w:rPr>
                <w:rFonts w:ascii="Calibri" w:eastAsia="Calibri" w:hAnsi="Calibri" w:cs="Arial"/>
                <w:bCs/>
                <w:color w:val="000000" w:themeColor="text1"/>
                <w:kern w:val="24"/>
                <w:sz w:val="24"/>
                <w:szCs w:val="32"/>
                <w:lang w:val="en-US" w:eastAsia="pt-BR"/>
              </w:rPr>
              <w:t xml:space="preserve">CARs </w:t>
            </w:r>
          </w:p>
          <w:p w14:paraId="2E020528" w14:textId="04ACD386" w:rsidR="004764C9" w:rsidRPr="00172E83" w:rsidRDefault="004764C9" w:rsidP="00E34C6D">
            <w:pPr>
              <w:spacing w:after="0" w:line="240" w:lineRule="auto"/>
              <w:rPr>
                <w:rFonts w:ascii="Calibri" w:eastAsia="Calibri" w:hAnsi="Calibri" w:cs="Arial"/>
                <w:bCs/>
                <w:color w:val="000000" w:themeColor="text1"/>
                <w:kern w:val="24"/>
                <w:szCs w:val="32"/>
                <w:lang w:val="en-US" w:eastAsia="pt-BR"/>
              </w:rPr>
            </w:pPr>
            <w:r w:rsidRPr="00172E83">
              <w:rPr>
                <w:rFonts w:ascii="Calibri" w:eastAsia="Calibri" w:hAnsi="Calibri" w:cs="Arial"/>
                <w:bCs/>
                <w:color w:val="000000" w:themeColor="text1"/>
                <w:kern w:val="24"/>
                <w:szCs w:val="32"/>
                <w:lang w:val="en-US" w:eastAsia="pt-BR"/>
              </w:rPr>
              <w:t xml:space="preserve">            </w:t>
            </w:r>
          </w:p>
          <w:p w14:paraId="1ECEA351" w14:textId="77777777" w:rsidR="004764C9" w:rsidRPr="00172E83" w:rsidRDefault="004764C9" w:rsidP="004764C9">
            <w:pPr>
              <w:spacing w:after="0"/>
              <w:rPr>
                <w:rFonts w:ascii="Arial" w:eastAsia="Times New Roman" w:hAnsi="Arial" w:cs="Arial"/>
                <w:color w:val="000000" w:themeColor="text1"/>
                <w:sz w:val="24"/>
                <w:szCs w:val="36"/>
                <w:lang w:val="en-US" w:eastAsia="pt-BR"/>
              </w:rPr>
            </w:pPr>
            <w:r w:rsidRPr="00172E83">
              <w:rPr>
                <w:rFonts w:ascii="Calibri" w:eastAsia="Calibri" w:hAnsi="Calibri" w:cs="Arial"/>
                <w:bCs/>
                <w:color w:val="000000" w:themeColor="text1"/>
                <w:kern w:val="24"/>
                <w:szCs w:val="32"/>
                <w:lang w:val="en-US" w:eastAsia="pt-BR"/>
              </w:rPr>
              <w:t xml:space="preserve">             </w:t>
            </w:r>
            <w:r w:rsidRPr="00172E83">
              <w:rPr>
                <w:rFonts w:ascii="Calibri" w:eastAsia="Calibri" w:hAnsi="Calibri" w:cs="Arial"/>
                <w:bCs/>
                <w:i/>
                <w:color w:val="000000" w:themeColor="text1"/>
                <w:kern w:val="24"/>
                <w:szCs w:val="32"/>
                <w:lang w:val="en-US" w:eastAsia="pt-BR"/>
              </w:rPr>
              <w:t>Aim</w:t>
            </w:r>
            <w:r w:rsidRPr="00172E83">
              <w:rPr>
                <w:rFonts w:ascii="Calibri" w:eastAsia="Calibri" w:hAnsi="Calibri" w:cs="Arial"/>
                <w:bCs/>
                <w:color w:val="000000" w:themeColor="text1"/>
                <w:kern w:val="24"/>
                <w:szCs w:val="32"/>
                <w:lang w:val="en-US" w:eastAsia="pt-BR"/>
              </w:rPr>
              <w:t xml:space="preserve">: </w:t>
            </w:r>
            <w:r w:rsidRPr="00172E83">
              <w:rPr>
                <w:rFonts w:ascii="Calibri" w:eastAsia="Calibri" w:hAnsi="Calibri" w:cs="Arial"/>
                <w:bCs/>
                <w:color w:val="000000" w:themeColor="text1"/>
                <w:kern w:val="24"/>
                <w:sz w:val="24"/>
                <w:szCs w:val="32"/>
                <w:lang w:val="en-US" w:eastAsia="pt-BR"/>
              </w:rPr>
              <w:t xml:space="preserve">Halt currency appreciation </w:t>
            </w:r>
          </w:p>
          <w:p w14:paraId="5A04F915" w14:textId="718D655D" w:rsidR="004764C9" w:rsidRPr="00172E83" w:rsidRDefault="004764C9" w:rsidP="00E34C6D">
            <w:pPr>
              <w:spacing w:after="0" w:line="300" w:lineRule="exact"/>
              <w:rPr>
                <w:rFonts w:ascii="Calibri" w:eastAsia="Calibri" w:hAnsi="Calibri" w:cs="Arial"/>
                <w:bCs/>
                <w:color w:val="000000" w:themeColor="text1"/>
                <w:kern w:val="24"/>
                <w:sz w:val="24"/>
                <w:szCs w:val="32"/>
                <w:lang w:val="en-US" w:eastAsia="pt-BR"/>
              </w:rPr>
            </w:pPr>
            <w:r w:rsidRPr="00172E83">
              <w:rPr>
                <w:rFonts w:ascii="Calibri" w:eastAsia="Calibri" w:hAnsi="Calibri" w:cs="Arial"/>
                <w:bCs/>
                <w:i/>
                <w:color w:val="000000" w:themeColor="text1"/>
                <w:kern w:val="24"/>
                <w:sz w:val="24"/>
                <w:szCs w:val="32"/>
                <w:lang w:val="en-US" w:eastAsia="pt-BR"/>
              </w:rPr>
              <w:t>           Target</w:t>
            </w:r>
            <w:r w:rsidRPr="00172E83">
              <w:rPr>
                <w:rFonts w:ascii="Calibri" w:eastAsia="Calibri" w:hAnsi="Calibri" w:cs="Arial"/>
                <w:bCs/>
                <w:color w:val="000000" w:themeColor="text1"/>
                <w:kern w:val="24"/>
                <w:sz w:val="24"/>
                <w:szCs w:val="32"/>
                <w:lang w:val="en-US" w:eastAsia="pt-BR"/>
              </w:rPr>
              <w:t>: Reduce volume of short-term capital inflows</w:t>
            </w:r>
          </w:p>
          <w:p w14:paraId="3073DBF1" w14:textId="38B141F3" w:rsidR="004764C9" w:rsidRPr="00172E83" w:rsidRDefault="004764C9" w:rsidP="00E34C6D">
            <w:pPr>
              <w:spacing w:after="0" w:line="300" w:lineRule="exact"/>
              <w:rPr>
                <w:rFonts w:ascii="Calibri" w:eastAsia="Calibri" w:hAnsi="Calibri" w:cs="Arial"/>
                <w:bCs/>
                <w:color w:val="000000" w:themeColor="text1"/>
                <w:kern w:val="24"/>
                <w:sz w:val="24"/>
                <w:szCs w:val="32"/>
                <w:lang w:val="en-US" w:eastAsia="pt-BR"/>
              </w:rPr>
            </w:pPr>
            <w:r w:rsidRPr="00172E83">
              <w:rPr>
                <w:rFonts w:ascii="Calibri" w:eastAsia="Calibri" w:hAnsi="Calibri" w:cs="Arial"/>
                <w:bCs/>
                <w:color w:val="000000" w:themeColor="text1"/>
                <w:kern w:val="24"/>
                <w:sz w:val="24"/>
                <w:szCs w:val="32"/>
                <w:lang w:val="en-US" w:eastAsia="pt-BR"/>
              </w:rPr>
              <w:t xml:space="preserve">           </w:t>
            </w:r>
            <w:r w:rsidRPr="00172E83">
              <w:rPr>
                <w:rFonts w:ascii="Calibri" w:eastAsia="Calibri" w:hAnsi="Calibri" w:cs="Arial"/>
                <w:bCs/>
                <w:i/>
                <w:color w:val="000000" w:themeColor="text1"/>
                <w:kern w:val="24"/>
                <w:sz w:val="24"/>
                <w:szCs w:val="32"/>
                <w:lang w:val="en-US" w:eastAsia="pt-BR"/>
              </w:rPr>
              <w:t>Tools</w:t>
            </w:r>
            <w:r w:rsidRPr="00172E83">
              <w:rPr>
                <w:rFonts w:ascii="Calibri" w:eastAsia="Calibri" w:hAnsi="Calibri" w:cs="Arial"/>
                <w:bCs/>
                <w:color w:val="000000" w:themeColor="text1"/>
                <w:kern w:val="24"/>
                <w:sz w:val="24"/>
                <w:szCs w:val="32"/>
                <w:lang w:val="en-US" w:eastAsia="pt-BR"/>
              </w:rPr>
              <w:t xml:space="preserve">: price-based capital controls (financial tax), </w:t>
            </w:r>
            <w:r w:rsidRPr="00172E83">
              <w:rPr>
                <w:rFonts w:ascii="Calibri" w:eastAsia="Calibri" w:hAnsi="Calibri" w:cs="Arial"/>
                <w:bCs/>
                <w:color w:val="000000" w:themeColor="text1"/>
                <w:kern w:val="24"/>
                <w:sz w:val="24"/>
                <w:szCs w:val="32"/>
                <w:lang w:val="en-US" w:eastAsia="pt-BR"/>
              </w:rPr>
              <w:br/>
              <w:t xml:space="preserve">  administrative controls, prudential regulation, </w:t>
            </w:r>
            <w:r w:rsidRPr="00172E83">
              <w:rPr>
                <w:rFonts w:ascii="Calibri" w:eastAsia="Calibri" w:hAnsi="Calibri" w:cs="Arial"/>
                <w:bCs/>
                <w:color w:val="000000" w:themeColor="text1"/>
                <w:kern w:val="24"/>
                <w:sz w:val="24"/>
                <w:szCs w:val="32"/>
                <w:lang w:val="en-US" w:eastAsia="pt-BR"/>
              </w:rPr>
              <w:br/>
              <w:t xml:space="preserve">  expansion to regulation of FX derivatives =&gt; </w:t>
            </w:r>
            <w:r w:rsidRPr="00172E83">
              <w:rPr>
                <w:rFonts w:ascii="Calibri" w:eastAsia="Calibri" w:hAnsi="Calibri" w:cs="Arial"/>
                <w:bCs/>
                <w:color w:val="000000" w:themeColor="text1"/>
                <w:kern w:val="24"/>
                <w:sz w:val="24"/>
                <w:szCs w:val="32"/>
                <w:lang w:val="en-US" w:eastAsia="pt-BR"/>
              </w:rPr>
              <w:br/>
              <w:t xml:space="preserve">  comprehensive regulation</w:t>
            </w:r>
          </w:p>
          <w:p w14:paraId="5743D7EF" w14:textId="77777777" w:rsidR="004764C9" w:rsidRPr="00172E83" w:rsidRDefault="004764C9" w:rsidP="004764C9">
            <w:pPr>
              <w:spacing w:after="0" w:line="300" w:lineRule="exact"/>
              <w:rPr>
                <w:rFonts w:ascii="Arial" w:eastAsia="Times New Roman" w:hAnsi="Arial" w:cs="Arial"/>
                <w:color w:val="000000" w:themeColor="text1"/>
                <w:sz w:val="24"/>
                <w:szCs w:val="36"/>
                <w:lang w:val="en-US" w:eastAsia="pt-BR"/>
              </w:rPr>
            </w:pPr>
          </w:p>
        </w:tc>
        <w:tc>
          <w:tcPr>
            <w:tcW w:w="4252" w:type="dxa"/>
            <w:tcBorders>
              <w:top w:val="single" w:sz="24" w:space="0" w:color="FFFFFF"/>
              <w:left w:val="single" w:sz="8" w:space="0" w:color="FFFFFF"/>
              <w:bottom w:val="single" w:sz="8" w:space="0" w:color="FFFFFF"/>
              <w:right w:val="single" w:sz="8" w:space="0" w:color="FFFFFF"/>
            </w:tcBorders>
            <w:shd w:val="clear" w:color="auto" w:fill="BFBFBF" w:themeFill="background1" w:themeFillShade="BF"/>
            <w:tcMar>
              <w:top w:w="15" w:type="dxa"/>
              <w:left w:w="108" w:type="dxa"/>
              <w:bottom w:w="0" w:type="dxa"/>
              <w:right w:w="108" w:type="dxa"/>
            </w:tcMar>
          </w:tcPr>
          <w:p w14:paraId="60BFC417" w14:textId="77777777" w:rsidR="004764C9" w:rsidRPr="00172E83" w:rsidRDefault="004764C9" w:rsidP="00E34C6D">
            <w:pPr>
              <w:spacing w:after="0"/>
              <w:rPr>
                <w:rFonts w:ascii="Arial" w:eastAsia="Times New Roman" w:hAnsi="Arial" w:cs="Arial"/>
                <w:color w:val="000000" w:themeColor="text1"/>
                <w:sz w:val="24"/>
                <w:szCs w:val="36"/>
                <w:lang w:val="en-US" w:eastAsia="pt-BR"/>
              </w:rPr>
            </w:pPr>
            <w:r w:rsidRPr="00172E83">
              <w:rPr>
                <w:rFonts w:ascii="Calibri" w:eastAsia="Calibri" w:hAnsi="Calibri" w:cs="Arial"/>
                <w:b/>
                <w:bCs/>
                <w:color w:val="000000" w:themeColor="text1"/>
                <w:kern w:val="24"/>
                <w:sz w:val="24"/>
                <w:szCs w:val="32"/>
                <w:lang w:val="en-US" w:eastAsia="pt-BR"/>
              </w:rPr>
              <w:t xml:space="preserve">Institutions </w:t>
            </w:r>
          </w:p>
          <w:p w14:paraId="37D27F25" w14:textId="77777777" w:rsidR="004764C9" w:rsidRPr="00172E83" w:rsidRDefault="004764C9" w:rsidP="00E34C6D">
            <w:pPr>
              <w:spacing w:after="0"/>
              <w:rPr>
                <w:rFonts w:ascii="Calibri" w:eastAsia="Calibri" w:hAnsi="Calibri" w:cs="Arial"/>
                <w:bCs/>
                <w:i/>
                <w:color w:val="000000" w:themeColor="text1"/>
                <w:kern w:val="24"/>
                <w:sz w:val="24"/>
                <w:szCs w:val="32"/>
                <w:lang w:val="en-US" w:eastAsia="pt-BR"/>
              </w:rPr>
            </w:pPr>
          </w:p>
          <w:p w14:paraId="216491A6" w14:textId="77777777" w:rsidR="004764C9" w:rsidRPr="00172E83" w:rsidRDefault="004764C9" w:rsidP="00E34C6D">
            <w:pPr>
              <w:spacing w:after="0"/>
              <w:rPr>
                <w:rFonts w:ascii="Calibri" w:eastAsia="Calibri" w:hAnsi="Calibri" w:cs="Arial"/>
                <w:bCs/>
                <w:i/>
                <w:color w:val="000000" w:themeColor="text1"/>
                <w:kern w:val="24"/>
                <w:sz w:val="24"/>
                <w:szCs w:val="32"/>
                <w:lang w:val="en-US" w:eastAsia="pt-BR"/>
              </w:rPr>
            </w:pPr>
          </w:p>
          <w:p w14:paraId="347A69BD" w14:textId="77777777" w:rsidR="004764C9" w:rsidRPr="00172E83" w:rsidRDefault="004764C9" w:rsidP="00E34C6D">
            <w:pPr>
              <w:spacing w:after="0"/>
              <w:rPr>
                <w:rFonts w:ascii="Calibri" w:eastAsia="Calibri" w:hAnsi="Calibri" w:cs="Arial"/>
                <w:bCs/>
                <w:i/>
                <w:color w:val="000000" w:themeColor="text1"/>
                <w:kern w:val="24"/>
                <w:sz w:val="24"/>
                <w:szCs w:val="32"/>
                <w:lang w:val="en-US" w:eastAsia="pt-BR"/>
              </w:rPr>
            </w:pPr>
          </w:p>
          <w:p w14:paraId="57374E5A" w14:textId="77777777" w:rsidR="004764C9" w:rsidRPr="00172E83" w:rsidRDefault="004764C9" w:rsidP="00E34C6D">
            <w:pPr>
              <w:spacing w:after="0"/>
              <w:rPr>
                <w:rFonts w:ascii="Calibri" w:eastAsia="Calibri" w:hAnsi="Calibri" w:cs="Arial"/>
                <w:bCs/>
                <w:i/>
                <w:color w:val="000000" w:themeColor="text1"/>
                <w:kern w:val="24"/>
                <w:sz w:val="24"/>
                <w:szCs w:val="32"/>
                <w:lang w:val="en-US" w:eastAsia="pt-BR"/>
              </w:rPr>
            </w:pPr>
          </w:p>
          <w:p w14:paraId="7FC5B29A" w14:textId="2AD0923A" w:rsidR="004764C9" w:rsidRPr="00172E83" w:rsidRDefault="004764C9" w:rsidP="00E34C6D">
            <w:pPr>
              <w:spacing w:after="0"/>
              <w:rPr>
                <w:rFonts w:ascii="Segoe UI" w:eastAsia="Times New Roman" w:hAnsi="Segoe UI" w:cs="Segoe UI"/>
                <w:bCs/>
                <w:color w:val="000000" w:themeColor="text1"/>
                <w:kern w:val="24"/>
                <w:sz w:val="24"/>
                <w:szCs w:val="36"/>
                <w:lang w:val="en-US" w:eastAsia="pt-BR"/>
              </w:rPr>
            </w:pPr>
            <w:r w:rsidRPr="00172E83">
              <w:rPr>
                <w:rFonts w:ascii="Calibri" w:eastAsia="Calibri" w:hAnsi="Calibri" w:cs="Arial"/>
                <w:bCs/>
                <w:i/>
                <w:color w:val="000000" w:themeColor="text1"/>
                <w:kern w:val="24"/>
                <w:sz w:val="24"/>
                <w:szCs w:val="32"/>
                <w:lang w:val="en-US" w:eastAsia="pt-BR"/>
              </w:rPr>
              <w:t xml:space="preserve">- </w:t>
            </w:r>
            <w:r w:rsidRPr="00172E83">
              <w:rPr>
                <w:rFonts w:ascii="Calibri" w:eastAsia="Calibri" w:hAnsi="Calibri" w:cs="Arial"/>
                <w:b/>
                <w:bCs/>
                <w:i/>
                <w:color w:val="000000" w:themeColor="text1"/>
                <w:kern w:val="24"/>
                <w:sz w:val="24"/>
                <w:szCs w:val="32"/>
                <w:lang w:val="en-US" w:eastAsia="pt-BR"/>
              </w:rPr>
              <w:t>Financial openness</w:t>
            </w:r>
            <w:r w:rsidRPr="00172E83">
              <w:rPr>
                <w:rFonts w:ascii="Segoe UI" w:eastAsia="Times New Roman" w:hAnsi="Segoe UI" w:cs="Segoe UI"/>
                <w:bCs/>
                <w:color w:val="000000" w:themeColor="text1"/>
                <w:kern w:val="24"/>
                <w:sz w:val="24"/>
                <w:szCs w:val="36"/>
                <w:lang w:val="en-US" w:eastAsia="pt-BR"/>
              </w:rPr>
              <w:t xml:space="preserve">: </w:t>
            </w:r>
            <w:r w:rsidRPr="00172E83">
              <w:rPr>
                <w:rFonts w:ascii="Calibri" w:eastAsia="Calibri" w:hAnsi="Calibri" w:cs="Arial"/>
                <w:bCs/>
                <w:color w:val="000000" w:themeColor="text1"/>
                <w:kern w:val="24"/>
                <w:sz w:val="24"/>
                <w:szCs w:val="32"/>
                <w:lang w:val="en-US" w:eastAsia="pt-BR"/>
              </w:rPr>
              <w:t xml:space="preserve"> high </w:t>
            </w:r>
          </w:p>
          <w:p w14:paraId="5E61AAF7" w14:textId="77777777" w:rsidR="004764C9" w:rsidRPr="00172E83" w:rsidRDefault="004764C9" w:rsidP="00E34C6D">
            <w:pPr>
              <w:spacing w:after="0"/>
              <w:rPr>
                <w:rFonts w:ascii="Calibri" w:eastAsia="Calibri" w:hAnsi="Calibri" w:cs="Arial"/>
                <w:bCs/>
                <w:i/>
                <w:color w:val="000000" w:themeColor="text1"/>
                <w:kern w:val="24"/>
                <w:sz w:val="24"/>
                <w:szCs w:val="32"/>
                <w:lang w:val="en-US" w:eastAsia="pt-BR"/>
              </w:rPr>
            </w:pPr>
          </w:p>
          <w:p w14:paraId="63E8AAA8" w14:textId="1E868F5F" w:rsidR="004764C9" w:rsidRPr="00172E83" w:rsidRDefault="004764C9" w:rsidP="00E34C6D">
            <w:pPr>
              <w:spacing w:after="0"/>
              <w:rPr>
                <w:rFonts w:ascii="Arial" w:eastAsia="Times New Roman" w:hAnsi="Arial" w:cs="Arial"/>
                <w:color w:val="000000" w:themeColor="text1"/>
                <w:sz w:val="24"/>
                <w:szCs w:val="36"/>
                <w:lang w:val="en-US" w:eastAsia="pt-BR"/>
              </w:rPr>
            </w:pPr>
            <w:r w:rsidRPr="00172E83">
              <w:rPr>
                <w:rFonts w:ascii="Calibri" w:eastAsia="Calibri" w:hAnsi="Calibri" w:cs="Arial"/>
                <w:bCs/>
                <w:i/>
                <w:color w:val="000000" w:themeColor="text1"/>
                <w:kern w:val="24"/>
                <w:sz w:val="24"/>
                <w:szCs w:val="32"/>
                <w:lang w:val="en-US" w:eastAsia="pt-BR"/>
              </w:rPr>
              <w:t xml:space="preserve">- </w:t>
            </w:r>
            <w:r w:rsidRPr="00172E83">
              <w:rPr>
                <w:rFonts w:ascii="Calibri" w:eastAsia="Calibri" w:hAnsi="Calibri" w:cs="Arial"/>
                <w:b/>
                <w:bCs/>
                <w:i/>
                <w:color w:val="000000" w:themeColor="text1"/>
                <w:kern w:val="24"/>
                <w:sz w:val="24"/>
                <w:szCs w:val="32"/>
                <w:lang w:val="en-US" w:eastAsia="pt-BR"/>
              </w:rPr>
              <w:t>Financial market sophistication</w:t>
            </w:r>
            <w:r w:rsidRPr="00172E83">
              <w:rPr>
                <w:rFonts w:ascii="Calibri" w:eastAsia="Calibri" w:hAnsi="Calibri" w:cs="Arial"/>
                <w:bCs/>
                <w:color w:val="000000" w:themeColor="text1"/>
                <w:kern w:val="24"/>
                <w:sz w:val="24"/>
                <w:szCs w:val="32"/>
                <w:lang w:val="en-US" w:eastAsia="pt-BR"/>
              </w:rPr>
              <w:t>: high (derivatives)</w:t>
            </w:r>
          </w:p>
          <w:p w14:paraId="6FE7E291" w14:textId="77777777" w:rsidR="004764C9" w:rsidRPr="00172E83" w:rsidRDefault="004764C9" w:rsidP="00E34C6D">
            <w:pPr>
              <w:spacing w:after="0"/>
              <w:rPr>
                <w:rFonts w:ascii="Calibri" w:eastAsia="Calibri" w:hAnsi="Calibri" w:cs="Arial"/>
                <w:bCs/>
                <w:i/>
                <w:color w:val="000000" w:themeColor="text1"/>
                <w:kern w:val="24"/>
                <w:sz w:val="24"/>
                <w:szCs w:val="32"/>
                <w:lang w:val="en-US" w:eastAsia="pt-BR"/>
              </w:rPr>
            </w:pPr>
          </w:p>
          <w:p w14:paraId="2DEBD854" w14:textId="77777777" w:rsidR="004764C9" w:rsidRPr="00172E83" w:rsidRDefault="004764C9" w:rsidP="00E34C6D">
            <w:pPr>
              <w:spacing w:after="0"/>
              <w:rPr>
                <w:rFonts w:ascii="Arial" w:eastAsia="Times New Roman" w:hAnsi="Arial" w:cs="Arial"/>
                <w:color w:val="000000" w:themeColor="text1"/>
                <w:sz w:val="24"/>
                <w:szCs w:val="36"/>
                <w:lang w:val="en-US" w:eastAsia="pt-BR"/>
              </w:rPr>
            </w:pPr>
          </w:p>
        </w:tc>
      </w:tr>
    </w:tbl>
    <w:p w14:paraId="728D6F80" w14:textId="77777777" w:rsidR="003B1540" w:rsidRPr="00172E83" w:rsidRDefault="00EF54C6" w:rsidP="007726A3">
      <w:pPr>
        <w:pStyle w:val="Padro"/>
        <w:jc w:val="both"/>
        <w:rPr>
          <w:rFonts w:ascii="Calibri" w:hAnsi="Calibri"/>
          <w:iCs/>
          <w:color w:val="000000" w:themeColor="text1"/>
          <w:sz w:val="22"/>
          <w:szCs w:val="22"/>
          <w:lang w:val="en-US"/>
        </w:rPr>
      </w:pPr>
      <w:r w:rsidRPr="00172E83">
        <w:rPr>
          <w:rFonts w:ascii="Calibri" w:hAnsi="Calibri"/>
          <w:iCs/>
          <w:color w:val="000000" w:themeColor="text1"/>
          <w:sz w:val="22"/>
          <w:szCs w:val="22"/>
          <w:lang w:val="en-US"/>
        </w:rPr>
        <w:t>Source</w:t>
      </w:r>
      <w:r w:rsidR="007726A3" w:rsidRPr="00172E83">
        <w:rPr>
          <w:rFonts w:ascii="Calibri" w:hAnsi="Calibri"/>
          <w:iCs/>
          <w:color w:val="000000" w:themeColor="text1"/>
          <w:sz w:val="22"/>
          <w:szCs w:val="22"/>
          <w:lang w:val="en-US"/>
        </w:rPr>
        <w:t>: own compilation</w:t>
      </w:r>
    </w:p>
    <w:p w14:paraId="7C54045A" w14:textId="55641A79" w:rsidR="00280BFD" w:rsidRPr="00C665AC" w:rsidRDefault="00EF54C6" w:rsidP="00280BFD">
      <w:pPr>
        <w:pStyle w:val="berschrift2"/>
        <w:spacing w:after="240"/>
        <w:rPr>
          <w:b/>
          <w:color w:val="000000" w:themeColor="text1"/>
          <w:lang w:val="en-US"/>
        </w:rPr>
      </w:pPr>
      <w:r w:rsidRPr="00C665AC">
        <w:rPr>
          <w:b/>
          <w:color w:val="000000" w:themeColor="text1"/>
          <w:lang w:val="en-US"/>
        </w:rPr>
        <w:t xml:space="preserve">5. </w:t>
      </w:r>
      <w:r w:rsidR="00A75B8C" w:rsidRPr="00C665AC">
        <w:rPr>
          <w:b/>
          <w:color w:val="000000" w:themeColor="text1"/>
          <w:lang w:val="en-US"/>
        </w:rPr>
        <w:t>Comparative analysis</w:t>
      </w:r>
    </w:p>
    <w:p w14:paraId="6AA2DD03" w14:textId="266EA547" w:rsidR="004171E0" w:rsidRPr="00172E83" w:rsidRDefault="004171E0" w:rsidP="004171E0">
      <w:pPr>
        <w:pStyle w:val="Padro"/>
        <w:spacing w:after="120" w:line="360" w:lineRule="auto"/>
        <w:jc w:val="both"/>
        <w:rPr>
          <w:rFonts w:ascii="Calibri" w:hAnsi="Calibri" w:cs="Calibri"/>
          <w:color w:val="000000" w:themeColor="text1"/>
          <w:sz w:val="22"/>
          <w:szCs w:val="22"/>
          <w:lang w:val="en-GB"/>
        </w:rPr>
      </w:pPr>
      <w:r w:rsidRPr="00172E83">
        <w:rPr>
          <w:rFonts w:ascii="Calibri" w:hAnsi="Calibri"/>
          <w:color w:val="000000" w:themeColor="text1"/>
          <w:sz w:val="22"/>
          <w:szCs w:val="22"/>
          <w:lang w:val="en-US"/>
        </w:rPr>
        <w:t>The dominant literature for the Brazilian case of capital controls in the 1990s</w:t>
      </w:r>
      <w:r w:rsidRPr="00172E83">
        <w:rPr>
          <w:rFonts w:ascii="Calibri" w:hAnsi="Calibri" w:cs="Calibri"/>
          <w:color w:val="000000" w:themeColor="text1"/>
          <w:sz w:val="22"/>
          <w:szCs w:val="22"/>
          <w:lang w:val="en-GB"/>
        </w:rPr>
        <w:t xml:space="preserve"> concludes that the effectiveness of capital controls might be limited in an environment where the sophistication of the financial markets reduces the cost of circumvention in view of the persistent incentives provided by interest rate differentials</w:t>
      </w:r>
      <w:r w:rsidR="00C665AC">
        <w:rPr>
          <w:rFonts w:ascii="Calibri" w:hAnsi="Calibri" w:cs="Calibri"/>
          <w:color w:val="000000" w:themeColor="text1"/>
          <w:sz w:val="22"/>
          <w:szCs w:val="22"/>
          <w:lang w:val="en-GB"/>
        </w:rPr>
        <w:t xml:space="preserve"> (see section 3a)</w:t>
      </w:r>
      <w:r w:rsidRPr="00172E83">
        <w:rPr>
          <w:rFonts w:ascii="Calibri" w:hAnsi="Calibri" w:cs="Calibri"/>
          <w:color w:val="000000" w:themeColor="text1"/>
          <w:sz w:val="22"/>
          <w:szCs w:val="22"/>
          <w:lang w:val="en-GB"/>
        </w:rPr>
        <w:t xml:space="preserve">. In turn, most of the empirical literature in the 2000s shows that the regulations adopted over 2009-2011 (CARs and FXDR) had some effectiveness in change the composition of capital flows and curb the currency appreciation despite the </w:t>
      </w:r>
      <w:r w:rsidRPr="00172E83">
        <w:rPr>
          <w:rFonts w:ascii="Calibri" w:hAnsi="Calibri"/>
          <w:color w:val="000000" w:themeColor="text1"/>
          <w:sz w:val="22"/>
          <w:szCs w:val="22"/>
          <w:lang w:val="en-US"/>
        </w:rPr>
        <w:t>greater sophistication and openness of the Brazilian financial market and the still high interest rate differential</w:t>
      </w:r>
      <w:r w:rsidR="00C665AC">
        <w:rPr>
          <w:rFonts w:ascii="Calibri" w:hAnsi="Calibri"/>
          <w:color w:val="000000" w:themeColor="text1"/>
          <w:sz w:val="22"/>
          <w:szCs w:val="22"/>
          <w:lang w:val="en-US"/>
        </w:rPr>
        <w:t xml:space="preserve"> (see section 4a)</w:t>
      </w:r>
      <w:r w:rsidRPr="00172E83">
        <w:rPr>
          <w:rFonts w:ascii="Calibri" w:hAnsi="Calibri" w:cs="Calibri"/>
          <w:color w:val="000000" w:themeColor="text1"/>
          <w:sz w:val="22"/>
          <w:szCs w:val="22"/>
          <w:lang w:val="en-GB"/>
        </w:rPr>
        <w:t>.</w:t>
      </w:r>
    </w:p>
    <w:p w14:paraId="0505B9AC" w14:textId="280E44B8" w:rsidR="002B0604" w:rsidRPr="00172E83" w:rsidRDefault="004171E0" w:rsidP="006135D8">
      <w:pPr>
        <w:pStyle w:val="Padro"/>
        <w:spacing w:after="120" w:line="360" w:lineRule="auto"/>
        <w:jc w:val="both"/>
        <w:rPr>
          <w:rFonts w:ascii="Calibri" w:hAnsi="Calibri"/>
          <w:color w:val="000000" w:themeColor="text1"/>
          <w:sz w:val="22"/>
          <w:szCs w:val="22"/>
          <w:lang w:val="en-GB"/>
        </w:rPr>
      </w:pPr>
      <w:r w:rsidRPr="00172E83">
        <w:rPr>
          <w:rFonts w:ascii="Calibri" w:hAnsi="Calibri" w:cs="Calibri"/>
          <w:color w:val="000000" w:themeColor="text1"/>
          <w:sz w:val="22"/>
          <w:szCs w:val="22"/>
          <w:lang w:val="en-GB"/>
        </w:rPr>
        <w:t xml:space="preserve">Our </w:t>
      </w:r>
      <w:r w:rsidRPr="00172E83">
        <w:rPr>
          <w:rFonts w:ascii="Calibri" w:hAnsi="Calibri"/>
          <w:color w:val="000000" w:themeColor="text1"/>
          <w:sz w:val="22"/>
          <w:szCs w:val="22"/>
          <w:lang w:val="en-US"/>
        </w:rPr>
        <w:t xml:space="preserve">comparative perspective of Brazil´s experience with CARs in the 1990s and 2000s </w:t>
      </w:r>
      <w:r w:rsidRPr="00172E83">
        <w:rPr>
          <w:rFonts w:ascii="Calibri" w:hAnsi="Calibri" w:cs="Calibri"/>
          <w:color w:val="000000" w:themeColor="text1"/>
          <w:sz w:val="22"/>
          <w:szCs w:val="22"/>
          <w:lang w:val="en-GB"/>
        </w:rPr>
        <w:t>is not focused on effectiveness, but on the design of the CARs</w:t>
      </w:r>
      <w:r w:rsidR="00C665AC">
        <w:rPr>
          <w:rFonts w:ascii="Calibri" w:hAnsi="Calibri" w:cs="Calibri"/>
          <w:color w:val="000000" w:themeColor="text1"/>
          <w:sz w:val="22"/>
          <w:szCs w:val="22"/>
          <w:lang w:val="en-GB"/>
        </w:rPr>
        <w:t xml:space="preserve"> (see sections 3b and 4b)</w:t>
      </w:r>
      <w:r w:rsidRPr="00172E83">
        <w:rPr>
          <w:rFonts w:ascii="Calibri" w:hAnsi="Calibri"/>
          <w:color w:val="000000" w:themeColor="text1"/>
          <w:sz w:val="22"/>
          <w:szCs w:val="22"/>
          <w:lang w:val="en-US"/>
        </w:rPr>
        <w:t xml:space="preserve">. </w:t>
      </w:r>
      <w:r w:rsidR="00D757F7" w:rsidRPr="00172E83">
        <w:rPr>
          <w:rFonts w:ascii="Calibri" w:hAnsi="Calibri"/>
          <w:color w:val="000000" w:themeColor="text1"/>
          <w:sz w:val="22"/>
          <w:szCs w:val="22"/>
          <w:lang w:val="en-GB"/>
        </w:rPr>
        <w:t xml:space="preserve">Comparing the two periods of </w:t>
      </w:r>
      <w:r w:rsidR="00C665AC">
        <w:rPr>
          <w:rFonts w:ascii="Calibri" w:hAnsi="Calibri"/>
          <w:color w:val="000000" w:themeColor="text1"/>
          <w:sz w:val="22"/>
          <w:szCs w:val="22"/>
          <w:lang w:val="en-GB"/>
        </w:rPr>
        <w:t>CAR</w:t>
      </w:r>
      <w:r w:rsidR="002B32AA" w:rsidRPr="00172E83">
        <w:rPr>
          <w:rFonts w:ascii="Calibri" w:hAnsi="Calibri"/>
          <w:color w:val="000000" w:themeColor="text1"/>
          <w:sz w:val="22"/>
          <w:szCs w:val="22"/>
          <w:lang w:val="en-GB"/>
        </w:rPr>
        <w:t xml:space="preserve"> </w:t>
      </w:r>
      <w:r w:rsidR="00D757F7" w:rsidRPr="00172E83">
        <w:rPr>
          <w:rFonts w:ascii="Calibri" w:hAnsi="Calibri"/>
          <w:color w:val="000000" w:themeColor="text1"/>
          <w:sz w:val="22"/>
          <w:szCs w:val="22"/>
          <w:lang w:val="en-GB"/>
        </w:rPr>
        <w:t xml:space="preserve">in Brazil, we find </w:t>
      </w:r>
      <w:r w:rsidR="008B7E5B" w:rsidRPr="00172E83">
        <w:rPr>
          <w:rFonts w:ascii="Calibri" w:hAnsi="Calibri"/>
          <w:color w:val="000000" w:themeColor="text1"/>
          <w:sz w:val="22"/>
          <w:szCs w:val="22"/>
          <w:lang w:val="en-GB"/>
        </w:rPr>
        <w:t xml:space="preserve">that </w:t>
      </w:r>
      <w:r w:rsidR="002C5AFF" w:rsidRPr="00172E83">
        <w:rPr>
          <w:rFonts w:ascii="Calibri" w:hAnsi="Calibri"/>
          <w:color w:val="000000" w:themeColor="text1"/>
          <w:sz w:val="22"/>
          <w:szCs w:val="22"/>
          <w:lang w:val="en-GB"/>
        </w:rPr>
        <w:t xml:space="preserve">the overall macroeconomic regime </w:t>
      </w:r>
      <w:r w:rsidR="008917A7" w:rsidRPr="00172E83">
        <w:rPr>
          <w:rFonts w:ascii="Calibri" w:hAnsi="Calibri"/>
          <w:color w:val="000000" w:themeColor="text1"/>
          <w:sz w:val="22"/>
          <w:szCs w:val="22"/>
          <w:lang w:val="en-GB"/>
        </w:rPr>
        <w:t xml:space="preserve">is </w:t>
      </w:r>
      <w:r w:rsidR="008B7E5B" w:rsidRPr="00172E83">
        <w:rPr>
          <w:rFonts w:ascii="Calibri" w:hAnsi="Calibri"/>
          <w:color w:val="000000" w:themeColor="text1"/>
          <w:sz w:val="22"/>
          <w:szCs w:val="22"/>
          <w:lang w:val="en-GB"/>
        </w:rPr>
        <w:t xml:space="preserve">highly relevant for </w:t>
      </w:r>
      <w:r w:rsidR="00C665AC">
        <w:rPr>
          <w:rFonts w:ascii="Calibri" w:hAnsi="Calibri"/>
          <w:color w:val="000000" w:themeColor="text1"/>
          <w:sz w:val="22"/>
          <w:szCs w:val="22"/>
          <w:lang w:val="en-GB"/>
        </w:rPr>
        <w:t xml:space="preserve">its </w:t>
      </w:r>
      <w:r w:rsidR="008B7E5B" w:rsidRPr="00172E83">
        <w:rPr>
          <w:rFonts w:ascii="Calibri" w:hAnsi="Calibri"/>
          <w:color w:val="000000" w:themeColor="text1"/>
          <w:sz w:val="22"/>
          <w:szCs w:val="22"/>
          <w:lang w:val="en-GB"/>
        </w:rPr>
        <w:t xml:space="preserve">design, along with </w:t>
      </w:r>
      <w:r w:rsidR="002C5AFF" w:rsidRPr="00172E83">
        <w:rPr>
          <w:rFonts w:ascii="Calibri" w:hAnsi="Calibri"/>
          <w:color w:val="000000" w:themeColor="text1"/>
          <w:sz w:val="22"/>
          <w:szCs w:val="22"/>
          <w:lang w:val="en-GB"/>
        </w:rPr>
        <w:t xml:space="preserve">the </w:t>
      </w:r>
      <w:r w:rsidR="008917A7" w:rsidRPr="00172E83">
        <w:rPr>
          <w:rFonts w:ascii="Calibri" w:hAnsi="Calibri"/>
          <w:color w:val="000000" w:themeColor="text1"/>
          <w:sz w:val="22"/>
          <w:szCs w:val="22"/>
          <w:lang w:val="en-GB"/>
        </w:rPr>
        <w:t xml:space="preserve">macroeconomic constraints and the </w:t>
      </w:r>
      <w:r w:rsidR="002C5AFF" w:rsidRPr="00172E83">
        <w:rPr>
          <w:rFonts w:ascii="Calibri" w:hAnsi="Calibri"/>
          <w:color w:val="000000" w:themeColor="text1"/>
          <w:sz w:val="22"/>
          <w:szCs w:val="22"/>
          <w:lang w:val="en-GB"/>
        </w:rPr>
        <w:t>features of the domestic financial market</w:t>
      </w:r>
      <w:r w:rsidR="008917A7" w:rsidRPr="00172E83">
        <w:rPr>
          <w:rFonts w:ascii="Calibri" w:hAnsi="Calibri"/>
          <w:color w:val="000000" w:themeColor="text1"/>
          <w:sz w:val="22"/>
          <w:szCs w:val="22"/>
          <w:lang w:val="en-GB"/>
        </w:rPr>
        <w:t xml:space="preserve">, especially its level of </w:t>
      </w:r>
      <w:r w:rsidR="002C5AFF" w:rsidRPr="00172E83">
        <w:rPr>
          <w:rFonts w:ascii="Calibri" w:hAnsi="Calibri"/>
          <w:color w:val="000000" w:themeColor="text1"/>
          <w:sz w:val="22"/>
          <w:szCs w:val="22"/>
          <w:lang w:val="en-GB"/>
        </w:rPr>
        <w:t>openness and sophistication</w:t>
      </w:r>
      <w:r w:rsidR="008917A7" w:rsidRPr="00172E83">
        <w:rPr>
          <w:rFonts w:ascii="Calibri" w:hAnsi="Calibri"/>
          <w:color w:val="000000" w:themeColor="text1"/>
          <w:sz w:val="22"/>
          <w:szCs w:val="22"/>
          <w:lang w:val="en-GB"/>
        </w:rPr>
        <w:t>.</w:t>
      </w:r>
      <w:r w:rsidR="002C5AFF" w:rsidRPr="00172E83">
        <w:rPr>
          <w:rFonts w:ascii="Calibri" w:hAnsi="Calibri"/>
          <w:color w:val="000000" w:themeColor="text1"/>
          <w:sz w:val="22"/>
          <w:szCs w:val="22"/>
          <w:lang w:val="en-GB"/>
        </w:rPr>
        <w:t xml:space="preserve"> </w:t>
      </w:r>
      <w:r w:rsidR="00C91416" w:rsidRPr="00172E83">
        <w:rPr>
          <w:rFonts w:ascii="Calibri" w:hAnsi="Calibri"/>
          <w:color w:val="000000" w:themeColor="text1"/>
          <w:sz w:val="22"/>
          <w:szCs w:val="22"/>
          <w:lang w:val="en-GB"/>
        </w:rPr>
        <w:t xml:space="preserve"> While th</w:t>
      </w:r>
      <w:r w:rsidR="00F209E1" w:rsidRPr="00172E83">
        <w:rPr>
          <w:rFonts w:ascii="Calibri" w:hAnsi="Calibri"/>
          <w:color w:val="000000" w:themeColor="text1"/>
          <w:sz w:val="22"/>
          <w:szCs w:val="22"/>
          <w:lang w:val="en-GB"/>
        </w:rPr>
        <w:t xml:space="preserve">e two first ones frame the aims </w:t>
      </w:r>
      <w:r w:rsidR="00C91416" w:rsidRPr="00172E83">
        <w:rPr>
          <w:rFonts w:ascii="Calibri" w:hAnsi="Calibri"/>
          <w:color w:val="000000" w:themeColor="text1"/>
          <w:sz w:val="22"/>
          <w:szCs w:val="22"/>
          <w:lang w:val="en-GB"/>
        </w:rPr>
        <w:t>and, c</w:t>
      </w:r>
      <w:r w:rsidR="00C665AC">
        <w:rPr>
          <w:rFonts w:ascii="Calibri" w:hAnsi="Calibri"/>
          <w:color w:val="000000" w:themeColor="text1"/>
          <w:sz w:val="22"/>
          <w:szCs w:val="22"/>
          <w:lang w:val="en-GB"/>
        </w:rPr>
        <w:t>onsequently, targets of the CAR</w:t>
      </w:r>
      <w:r w:rsidR="00C91416" w:rsidRPr="00172E83">
        <w:rPr>
          <w:rFonts w:ascii="Calibri" w:hAnsi="Calibri"/>
          <w:color w:val="000000" w:themeColor="text1"/>
          <w:sz w:val="22"/>
          <w:szCs w:val="22"/>
          <w:lang w:val="en-GB"/>
        </w:rPr>
        <w:t>, the l</w:t>
      </w:r>
      <w:r w:rsidR="00F209E1" w:rsidRPr="00172E83">
        <w:rPr>
          <w:rFonts w:ascii="Calibri" w:hAnsi="Calibri"/>
          <w:color w:val="000000" w:themeColor="text1"/>
          <w:sz w:val="22"/>
          <w:szCs w:val="22"/>
          <w:lang w:val="en-GB"/>
        </w:rPr>
        <w:t xml:space="preserve">atter </w:t>
      </w:r>
      <w:r w:rsidR="00C91416" w:rsidRPr="00172E83">
        <w:rPr>
          <w:rFonts w:ascii="Calibri" w:hAnsi="Calibri"/>
          <w:color w:val="000000" w:themeColor="text1"/>
          <w:sz w:val="22"/>
          <w:szCs w:val="22"/>
          <w:lang w:val="en-GB"/>
        </w:rPr>
        <w:t xml:space="preserve">shapes the specific tools </w:t>
      </w:r>
      <w:r w:rsidR="00F209E1" w:rsidRPr="00172E83">
        <w:rPr>
          <w:rFonts w:ascii="Calibri" w:hAnsi="Calibri"/>
          <w:color w:val="000000" w:themeColor="text1"/>
          <w:sz w:val="22"/>
          <w:szCs w:val="22"/>
          <w:lang w:val="en-GB"/>
        </w:rPr>
        <w:t xml:space="preserve">that </w:t>
      </w:r>
      <w:r w:rsidR="00C91416" w:rsidRPr="00172E83">
        <w:rPr>
          <w:rFonts w:ascii="Calibri" w:hAnsi="Calibri"/>
          <w:color w:val="000000" w:themeColor="text1"/>
          <w:sz w:val="22"/>
          <w:szCs w:val="22"/>
          <w:lang w:val="en-GB"/>
        </w:rPr>
        <w:t>will be put in place to reach these aims.</w:t>
      </w:r>
    </w:p>
    <w:p w14:paraId="47B0BF72" w14:textId="77777777" w:rsidR="0084496C" w:rsidRPr="00172E83" w:rsidRDefault="00DF4ABB" w:rsidP="006135D8">
      <w:pPr>
        <w:pStyle w:val="Padro"/>
        <w:spacing w:after="120" w:line="360" w:lineRule="auto"/>
        <w:jc w:val="both"/>
        <w:rPr>
          <w:rFonts w:ascii="Calibri" w:hAnsi="Calibri"/>
          <w:color w:val="000000" w:themeColor="text1"/>
          <w:sz w:val="22"/>
          <w:szCs w:val="22"/>
          <w:lang w:val="en-GB"/>
        </w:rPr>
      </w:pPr>
      <w:r w:rsidRPr="00172E83">
        <w:rPr>
          <w:rFonts w:ascii="Calibri" w:hAnsi="Calibri"/>
          <w:color w:val="000000" w:themeColor="text1"/>
          <w:sz w:val="22"/>
          <w:szCs w:val="22"/>
          <w:lang w:val="en-GB"/>
        </w:rPr>
        <w:t>During the 1990s, the macroeconomic regime gave absolute priority to inflation stabilization. In order to combat four-digit inflation, an exchange-rate anchor was combined to a h</w:t>
      </w:r>
      <w:r w:rsidR="00DD5F39" w:rsidRPr="00172E83">
        <w:rPr>
          <w:rFonts w:ascii="Calibri" w:hAnsi="Calibri"/>
          <w:color w:val="000000" w:themeColor="text1"/>
          <w:sz w:val="22"/>
          <w:szCs w:val="22"/>
          <w:lang w:val="en-GB"/>
        </w:rPr>
        <w:t>uge</w:t>
      </w:r>
      <w:r w:rsidRPr="00172E83">
        <w:rPr>
          <w:rFonts w:ascii="Calibri" w:hAnsi="Calibri"/>
          <w:color w:val="000000" w:themeColor="text1"/>
          <w:sz w:val="22"/>
          <w:szCs w:val="22"/>
          <w:lang w:val="en-GB"/>
        </w:rPr>
        <w:t xml:space="preserve"> interest rate differential</w:t>
      </w:r>
      <w:r w:rsidR="002B0604" w:rsidRPr="00172E83">
        <w:rPr>
          <w:rFonts w:ascii="Calibri" w:hAnsi="Calibri"/>
          <w:color w:val="000000" w:themeColor="text1"/>
          <w:sz w:val="22"/>
          <w:szCs w:val="22"/>
          <w:lang w:val="en-GB"/>
        </w:rPr>
        <w:t xml:space="preserve"> to attract permanent capital inflows</w:t>
      </w:r>
      <w:r w:rsidR="008A2217" w:rsidRPr="00172E83">
        <w:rPr>
          <w:rFonts w:ascii="Calibri" w:hAnsi="Calibri"/>
          <w:color w:val="000000" w:themeColor="text1"/>
          <w:sz w:val="22"/>
          <w:szCs w:val="22"/>
          <w:lang w:val="en-GB"/>
        </w:rPr>
        <w:t xml:space="preserve">. These inflows were required not only to build up international reserves (a pre-condition for the maintenance of that anchor), but also to finance the </w:t>
      </w:r>
      <w:r w:rsidR="00572F16" w:rsidRPr="00172E83">
        <w:rPr>
          <w:rFonts w:ascii="Calibri" w:hAnsi="Calibri"/>
          <w:color w:val="000000" w:themeColor="text1"/>
          <w:sz w:val="22"/>
          <w:szCs w:val="22"/>
          <w:lang w:val="en-GB"/>
        </w:rPr>
        <w:t xml:space="preserve">growing </w:t>
      </w:r>
      <w:r w:rsidR="008A2217" w:rsidRPr="00172E83">
        <w:rPr>
          <w:rFonts w:ascii="Calibri" w:hAnsi="Calibri"/>
          <w:color w:val="000000" w:themeColor="text1"/>
          <w:sz w:val="22"/>
          <w:szCs w:val="22"/>
          <w:lang w:val="en-GB"/>
        </w:rPr>
        <w:t>external commitments (cumulative current account deficit and high external debt to be served).</w:t>
      </w:r>
      <w:r w:rsidR="00D234DF" w:rsidRPr="00172E83">
        <w:rPr>
          <w:rFonts w:ascii="Calibri" w:hAnsi="Calibri"/>
          <w:color w:val="000000" w:themeColor="text1"/>
          <w:sz w:val="22"/>
          <w:szCs w:val="22"/>
          <w:lang w:val="en-GB"/>
        </w:rPr>
        <w:t xml:space="preserve"> </w:t>
      </w:r>
    </w:p>
    <w:p w14:paraId="62AD4896" w14:textId="4031F5F5" w:rsidR="002B0604" w:rsidRPr="00172E83" w:rsidRDefault="00D234DF" w:rsidP="006135D8">
      <w:pPr>
        <w:pStyle w:val="Padro"/>
        <w:spacing w:after="120" w:line="360" w:lineRule="auto"/>
        <w:jc w:val="both"/>
        <w:rPr>
          <w:rFonts w:ascii="Calibri" w:hAnsi="Calibri"/>
          <w:color w:val="000000" w:themeColor="text1"/>
          <w:sz w:val="22"/>
          <w:szCs w:val="22"/>
          <w:lang w:val="en-GB"/>
        </w:rPr>
      </w:pPr>
      <w:r w:rsidRPr="00172E83">
        <w:rPr>
          <w:rFonts w:ascii="Calibri" w:hAnsi="Calibri"/>
          <w:color w:val="000000" w:themeColor="text1"/>
          <w:sz w:val="22"/>
          <w:szCs w:val="22"/>
          <w:lang w:val="en-GB"/>
        </w:rPr>
        <w:t>In this setting</w:t>
      </w:r>
      <w:r w:rsidR="008A2217" w:rsidRPr="00172E83">
        <w:rPr>
          <w:rFonts w:ascii="Calibri" w:hAnsi="Calibri"/>
          <w:color w:val="000000" w:themeColor="text1"/>
          <w:sz w:val="22"/>
          <w:szCs w:val="22"/>
          <w:lang w:val="en-GB"/>
        </w:rPr>
        <w:t xml:space="preserve"> of still high external vulnerability</w:t>
      </w:r>
      <w:r w:rsidRPr="00172E83">
        <w:rPr>
          <w:rFonts w:ascii="Calibri" w:hAnsi="Calibri"/>
          <w:color w:val="000000" w:themeColor="text1"/>
          <w:sz w:val="22"/>
          <w:szCs w:val="22"/>
          <w:lang w:val="en-GB"/>
        </w:rPr>
        <w:t xml:space="preserve">, the </w:t>
      </w:r>
      <w:r w:rsidR="00F44250" w:rsidRPr="00172E83">
        <w:rPr>
          <w:rFonts w:ascii="Calibri" w:hAnsi="Calibri"/>
          <w:color w:val="000000" w:themeColor="text1"/>
          <w:sz w:val="22"/>
          <w:szCs w:val="22"/>
          <w:lang w:val="en-GB"/>
        </w:rPr>
        <w:t xml:space="preserve">main </w:t>
      </w:r>
      <w:r w:rsidRPr="00172E83">
        <w:rPr>
          <w:rFonts w:ascii="Calibri" w:hAnsi="Calibri"/>
          <w:color w:val="000000" w:themeColor="text1"/>
          <w:sz w:val="22"/>
          <w:szCs w:val="22"/>
          <w:lang w:val="en-GB"/>
        </w:rPr>
        <w:t xml:space="preserve">aim of </w:t>
      </w:r>
      <w:r w:rsidR="00A20AAE" w:rsidRPr="00172E83">
        <w:rPr>
          <w:rFonts w:ascii="Calibri" w:hAnsi="Calibri"/>
          <w:color w:val="000000" w:themeColor="text1"/>
          <w:sz w:val="22"/>
          <w:szCs w:val="22"/>
          <w:lang w:val="en-GB"/>
        </w:rPr>
        <w:t xml:space="preserve">the </w:t>
      </w:r>
      <w:r w:rsidRPr="00172E83">
        <w:rPr>
          <w:rFonts w:ascii="Calibri" w:hAnsi="Calibri"/>
          <w:color w:val="000000" w:themeColor="text1"/>
          <w:sz w:val="22"/>
          <w:szCs w:val="22"/>
          <w:lang w:val="en-GB"/>
        </w:rPr>
        <w:t>CAR</w:t>
      </w:r>
      <w:r w:rsidR="00A20AAE" w:rsidRPr="00172E83">
        <w:rPr>
          <w:rFonts w:ascii="Calibri" w:hAnsi="Calibri"/>
          <w:color w:val="000000" w:themeColor="text1"/>
          <w:sz w:val="22"/>
          <w:szCs w:val="22"/>
          <w:lang w:val="en-GB"/>
        </w:rPr>
        <w:t>s</w:t>
      </w:r>
      <w:r w:rsidR="00572F16" w:rsidRPr="00172E83">
        <w:rPr>
          <w:rFonts w:ascii="Calibri" w:hAnsi="Calibri"/>
          <w:color w:val="000000" w:themeColor="text1"/>
          <w:sz w:val="22"/>
          <w:szCs w:val="22"/>
          <w:lang w:val="en-GB"/>
        </w:rPr>
        <w:t xml:space="preserve"> was</w:t>
      </w:r>
      <w:r w:rsidRPr="00172E83">
        <w:rPr>
          <w:rFonts w:ascii="Calibri" w:hAnsi="Calibri"/>
          <w:color w:val="000000" w:themeColor="text1"/>
          <w:sz w:val="22"/>
          <w:szCs w:val="22"/>
          <w:lang w:val="en-GB"/>
        </w:rPr>
        <w:t xml:space="preserve"> to</w:t>
      </w:r>
      <w:r w:rsidR="00572F16" w:rsidRPr="00172E83">
        <w:rPr>
          <w:rFonts w:ascii="Calibri" w:hAnsi="Calibri"/>
          <w:color w:val="000000" w:themeColor="text1"/>
          <w:sz w:val="22"/>
          <w:szCs w:val="22"/>
          <w:lang w:val="en-GB"/>
        </w:rPr>
        <w:t xml:space="preserve"> change the composition of capital inflows from short</w:t>
      </w:r>
      <w:r w:rsidR="002A328B" w:rsidRPr="00172E83">
        <w:rPr>
          <w:rFonts w:ascii="Calibri" w:hAnsi="Calibri"/>
          <w:color w:val="000000" w:themeColor="text1"/>
          <w:sz w:val="22"/>
          <w:szCs w:val="22"/>
          <w:lang w:val="en-GB"/>
        </w:rPr>
        <w:t>-term to long-term inflows, i.e.</w:t>
      </w:r>
      <w:r w:rsidR="00572F16" w:rsidRPr="00172E83">
        <w:rPr>
          <w:rFonts w:ascii="Calibri" w:hAnsi="Calibri"/>
          <w:color w:val="000000" w:themeColor="text1"/>
          <w:sz w:val="22"/>
          <w:szCs w:val="22"/>
          <w:lang w:val="en-GB"/>
        </w:rPr>
        <w:t xml:space="preserve"> </w:t>
      </w:r>
      <w:r w:rsidRPr="00172E83">
        <w:rPr>
          <w:rFonts w:ascii="Calibri" w:hAnsi="Calibri"/>
          <w:color w:val="000000" w:themeColor="text1"/>
          <w:sz w:val="22"/>
          <w:szCs w:val="22"/>
          <w:lang w:val="en-GB"/>
        </w:rPr>
        <w:t>lengthen the</w:t>
      </w:r>
      <w:r w:rsidR="00572F16" w:rsidRPr="00172E83">
        <w:rPr>
          <w:rFonts w:ascii="Calibri" w:hAnsi="Calibri"/>
          <w:color w:val="000000" w:themeColor="text1"/>
          <w:sz w:val="22"/>
          <w:szCs w:val="22"/>
          <w:lang w:val="en-GB"/>
        </w:rPr>
        <w:t>ir</w:t>
      </w:r>
      <w:r w:rsidRPr="00172E83">
        <w:rPr>
          <w:rFonts w:ascii="Calibri" w:hAnsi="Calibri"/>
          <w:color w:val="000000" w:themeColor="text1"/>
          <w:sz w:val="22"/>
          <w:szCs w:val="22"/>
          <w:lang w:val="en-GB"/>
        </w:rPr>
        <w:t xml:space="preserve"> maturity</w:t>
      </w:r>
      <w:r w:rsidR="002A328B" w:rsidRPr="00172E83">
        <w:rPr>
          <w:rFonts w:ascii="Calibri" w:hAnsi="Calibri"/>
          <w:color w:val="000000" w:themeColor="text1"/>
          <w:sz w:val="22"/>
          <w:szCs w:val="22"/>
          <w:lang w:val="en-GB"/>
        </w:rPr>
        <w:t>. In an international context of highly volatile capital flows</w:t>
      </w:r>
      <w:r w:rsidR="00A9220E" w:rsidRPr="00172E83">
        <w:rPr>
          <w:rFonts w:ascii="Calibri" w:hAnsi="Calibri"/>
          <w:color w:val="000000" w:themeColor="text1"/>
          <w:sz w:val="22"/>
          <w:szCs w:val="22"/>
          <w:lang w:val="en-GB"/>
        </w:rPr>
        <w:t xml:space="preserve"> and a middle level of financial openness</w:t>
      </w:r>
      <w:r w:rsidR="002A328B" w:rsidRPr="00172E83">
        <w:rPr>
          <w:rFonts w:ascii="Calibri" w:hAnsi="Calibri"/>
          <w:color w:val="000000" w:themeColor="text1"/>
          <w:sz w:val="22"/>
          <w:szCs w:val="22"/>
          <w:lang w:val="en-GB"/>
        </w:rPr>
        <w:t>, capital controls had to be adjusted together with domestic policies had along the availability of international inflows. I</w:t>
      </w:r>
      <w:r w:rsidRPr="00172E83">
        <w:rPr>
          <w:rFonts w:ascii="Calibri" w:hAnsi="Calibri"/>
          <w:color w:val="000000" w:themeColor="text1"/>
          <w:sz w:val="22"/>
          <w:szCs w:val="22"/>
          <w:lang w:val="en-GB"/>
        </w:rPr>
        <w:t xml:space="preserve">n moments of excessive inflows, </w:t>
      </w:r>
      <w:r w:rsidR="002A328B" w:rsidRPr="00172E83">
        <w:rPr>
          <w:rFonts w:ascii="Calibri" w:hAnsi="Calibri"/>
          <w:color w:val="000000" w:themeColor="text1"/>
          <w:sz w:val="22"/>
          <w:szCs w:val="22"/>
          <w:lang w:val="en-GB"/>
        </w:rPr>
        <w:t xml:space="preserve">controls were introduced or intensified </w:t>
      </w:r>
      <w:r w:rsidR="00FF7A28" w:rsidRPr="00172E83">
        <w:rPr>
          <w:rFonts w:ascii="Calibri" w:hAnsi="Calibri"/>
          <w:color w:val="000000" w:themeColor="text1"/>
          <w:sz w:val="22"/>
          <w:szCs w:val="22"/>
          <w:lang w:val="en-GB"/>
        </w:rPr>
        <w:t xml:space="preserve">to </w:t>
      </w:r>
      <w:r w:rsidR="00F44250" w:rsidRPr="00172E83">
        <w:rPr>
          <w:rFonts w:ascii="Calibri" w:hAnsi="Calibri"/>
          <w:color w:val="000000" w:themeColor="text1"/>
          <w:sz w:val="22"/>
          <w:szCs w:val="22"/>
          <w:lang w:val="en-GB"/>
        </w:rPr>
        <w:t xml:space="preserve">curb their volume </w:t>
      </w:r>
      <w:r w:rsidR="007C7A41" w:rsidRPr="00172E83">
        <w:rPr>
          <w:rFonts w:ascii="Calibri" w:hAnsi="Calibri"/>
          <w:color w:val="000000" w:themeColor="text1"/>
          <w:sz w:val="22"/>
          <w:szCs w:val="22"/>
          <w:lang w:val="en-GB"/>
        </w:rPr>
        <w:t>to not overbur</w:t>
      </w:r>
      <w:r w:rsidR="00572F16" w:rsidRPr="00172E83">
        <w:rPr>
          <w:rFonts w:ascii="Calibri" w:hAnsi="Calibri"/>
          <w:color w:val="000000" w:themeColor="text1"/>
          <w:sz w:val="22"/>
          <w:szCs w:val="22"/>
          <w:lang w:val="en-GB"/>
        </w:rPr>
        <w:t>de</w:t>
      </w:r>
      <w:r w:rsidR="007C7A41" w:rsidRPr="00172E83">
        <w:rPr>
          <w:rFonts w:ascii="Calibri" w:hAnsi="Calibri"/>
          <w:color w:val="000000" w:themeColor="text1"/>
          <w:sz w:val="22"/>
          <w:szCs w:val="22"/>
          <w:lang w:val="en-GB"/>
        </w:rPr>
        <w:t xml:space="preserve">ning </w:t>
      </w:r>
      <w:r w:rsidR="00572F16" w:rsidRPr="00172E83">
        <w:rPr>
          <w:rFonts w:ascii="Calibri" w:hAnsi="Calibri"/>
          <w:color w:val="000000" w:themeColor="text1"/>
          <w:sz w:val="22"/>
          <w:szCs w:val="22"/>
          <w:lang w:val="en-GB"/>
        </w:rPr>
        <w:t xml:space="preserve">the fiscal </w:t>
      </w:r>
      <w:r w:rsidRPr="00172E83">
        <w:rPr>
          <w:rFonts w:ascii="Calibri" w:hAnsi="Calibri"/>
          <w:color w:val="000000" w:themeColor="text1"/>
          <w:sz w:val="22"/>
          <w:szCs w:val="22"/>
          <w:lang w:val="en-GB"/>
        </w:rPr>
        <w:t>cost of sterilization (</w:t>
      </w:r>
      <w:r w:rsidR="002B0604" w:rsidRPr="00172E83">
        <w:rPr>
          <w:rFonts w:ascii="Calibri" w:hAnsi="Calibri"/>
          <w:color w:val="000000" w:themeColor="text1"/>
          <w:sz w:val="22"/>
          <w:szCs w:val="22"/>
          <w:lang w:val="en-GB"/>
        </w:rPr>
        <w:t>consequence of the</w:t>
      </w:r>
      <w:r w:rsidR="007145CF" w:rsidRPr="00172E83">
        <w:rPr>
          <w:rFonts w:ascii="Calibri" w:hAnsi="Calibri"/>
          <w:color w:val="000000" w:themeColor="text1"/>
          <w:sz w:val="22"/>
          <w:szCs w:val="22"/>
          <w:lang w:val="en-GB"/>
        </w:rPr>
        <w:t xml:space="preserve"> very </w:t>
      </w:r>
      <w:r w:rsidR="002B0604" w:rsidRPr="00172E83">
        <w:rPr>
          <w:rFonts w:ascii="Calibri" w:hAnsi="Calibri"/>
          <w:color w:val="000000" w:themeColor="text1"/>
          <w:sz w:val="22"/>
          <w:szCs w:val="22"/>
          <w:lang w:val="en-GB"/>
        </w:rPr>
        <w:t xml:space="preserve">interest rate </w:t>
      </w:r>
      <w:r w:rsidRPr="00172E83">
        <w:rPr>
          <w:rFonts w:ascii="Calibri" w:hAnsi="Calibri"/>
          <w:color w:val="000000" w:themeColor="text1"/>
          <w:sz w:val="22"/>
          <w:szCs w:val="22"/>
          <w:lang w:val="en-GB"/>
        </w:rPr>
        <w:t>differential)</w:t>
      </w:r>
      <w:r w:rsidR="00A03805" w:rsidRPr="00172E83">
        <w:rPr>
          <w:rFonts w:ascii="Calibri" w:hAnsi="Calibri"/>
          <w:color w:val="000000" w:themeColor="text1"/>
          <w:sz w:val="22"/>
          <w:szCs w:val="22"/>
          <w:lang w:val="en-GB"/>
        </w:rPr>
        <w:t xml:space="preserve">, and were </w:t>
      </w:r>
      <w:r w:rsidR="00A9220E" w:rsidRPr="00172E83">
        <w:rPr>
          <w:rFonts w:ascii="Calibri" w:hAnsi="Calibri"/>
          <w:color w:val="000000" w:themeColor="text1"/>
          <w:sz w:val="22"/>
          <w:szCs w:val="22"/>
          <w:lang w:val="en-GB"/>
        </w:rPr>
        <w:t xml:space="preserve">accordingly </w:t>
      </w:r>
      <w:r w:rsidR="00A03805" w:rsidRPr="00172E83">
        <w:rPr>
          <w:rFonts w:ascii="Calibri" w:hAnsi="Calibri"/>
          <w:color w:val="000000" w:themeColor="text1"/>
          <w:sz w:val="22"/>
          <w:szCs w:val="22"/>
          <w:lang w:val="en-GB"/>
        </w:rPr>
        <w:t>relaxed in periods of drying</w:t>
      </w:r>
      <w:r w:rsidR="00A9220E" w:rsidRPr="00172E83">
        <w:rPr>
          <w:rFonts w:ascii="Calibri" w:hAnsi="Calibri"/>
          <w:color w:val="000000" w:themeColor="text1"/>
          <w:sz w:val="22"/>
          <w:szCs w:val="22"/>
          <w:lang w:val="en-GB"/>
        </w:rPr>
        <w:t xml:space="preserve"> capital inflows</w:t>
      </w:r>
      <w:r w:rsidR="007145CF" w:rsidRPr="00172E83">
        <w:rPr>
          <w:rFonts w:ascii="Calibri" w:hAnsi="Calibri"/>
          <w:color w:val="000000" w:themeColor="text1"/>
          <w:sz w:val="22"/>
          <w:szCs w:val="22"/>
          <w:lang w:val="en-GB"/>
        </w:rPr>
        <w:t xml:space="preserve">. Therefore, </w:t>
      </w:r>
      <w:r w:rsidR="002F7321" w:rsidRPr="00172E83">
        <w:rPr>
          <w:rFonts w:ascii="Calibri" w:hAnsi="Calibri"/>
          <w:color w:val="000000" w:themeColor="text1"/>
          <w:sz w:val="22"/>
          <w:szCs w:val="22"/>
          <w:lang w:val="en-GB"/>
        </w:rPr>
        <w:t xml:space="preserve">the only tool adopted was </w:t>
      </w:r>
      <w:r w:rsidR="007145CF" w:rsidRPr="00172E83">
        <w:rPr>
          <w:rFonts w:ascii="Calibri" w:hAnsi="Calibri"/>
          <w:color w:val="000000" w:themeColor="text1"/>
          <w:sz w:val="22"/>
          <w:szCs w:val="22"/>
          <w:lang w:val="en-GB"/>
        </w:rPr>
        <w:t xml:space="preserve">capital controls </w:t>
      </w:r>
      <w:r w:rsidR="002F7321" w:rsidRPr="00172E83">
        <w:rPr>
          <w:rFonts w:ascii="Calibri" w:hAnsi="Calibri"/>
          <w:color w:val="000000" w:themeColor="text1"/>
          <w:sz w:val="22"/>
          <w:szCs w:val="22"/>
          <w:lang w:val="en-GB"/>
        </w:rPr>
        <w:t>(one class of CARs)</w:t>
      </w:r>
      <w:r w:rsidR="00591793" w:rsidRPr="00172E83">
        <w:rPr>
          <w:rFonts w:ascii="Calibri" w:hAnsi="Calibri"/>
          <w:color w:val="000000" w:themeColor="text1"/>
          <w:sz w:val="22"/>
          <w:szCs w:val="22"/>
          <w:lang w:val="en-GB"/>
        </w:rPr>
        <w:t xml:space="preserve">. </w:t>
      </w:r>
      <w:r w:rsidR="002F7321" w:rsidRPr="00172E83">
        <w:rPr>
          <w:rFonts w:ascii="Calibri" w:hAnsi="Calibri"/>
          <w:color w:val="000000" w:themeColor="text1"/>
          <w:sz w:val="22"/>
          <w:szCs w:val="22"/>
          <w:lang w:val="en-GB"/>
        </w:rPr>
        <w:t xml:space="preserve"> </w:t>
      </w:r>
      <w:r w:rsidR="0084496C" w:rsidRPr="00172E83">
        <w:rPr>
          <w:rFonts w:ascii="Calibri" w:hAnsi="Calibri"/>
          <w:color w:val="000000" w:themeColor="text1"/>
          <w:sz w:val="22"/>
          <w:szCs w:val="22"/>
          <w:lang w:val="en-GB"/>
        </w:rPr>
        <w:t>T</w:t>
      </w:r>
      <w:r w:rsidR="002F7321" w:rsidRPr="00172E83">
        <w:rPr>
          <w:rFonts w:ascii="Calibri" w:hAnsi="Calibri"/>
          <w:color w:val="000000" w:themeColor="text1"/>
          <w:sz w:val="22"/>
          <w:szCs w:val="22"/>
          <w:lang w:val="en-GB"/>
        </w:rPr>
        <w:t xml:space="preserve">he institutional features of the financial market </w:t>
      </w:r>
      <w:r w:rsidR="00FC307C" w:rsidRPr="00172E83">
        <w:rPr>
          <w:rFonts w:ascii="Calibri" w:hAnsi="Calibri"/>
          <w:color w:val="000000" w:themeColor="text1"/>
          <w:sz w:val="22"/>
          <w:szCs w:val="22"/>
          <w:lang w:val="en-GB"/>
        </w:rPr>
        <w:t>in the 1990s</w:t>
      </w:r>
      <w:r w:rsidR="0084496C" w:rsidRPr="00172E83">
        <w:rPr>
          <w:rFonts w:ascii="Calibri" w:hAnsi="Calibri"/>
          <w:color w:val="000000" w:themeColor="text1"/>
          <w:sz w:val="22"/>
          <w:szCs w:val="22"/>
          <w:lang w:val="en-GB"/>
        </w:rPr>
        <w:t xml:space="preserve"> </w:t>
      </w:r>
      <w:r w:rsidR="002F7321" w:rsidRPr="00172E83">
        <w:rPr>
          <w:rFonts w:ascii="Calibri" w:hAnsi="Calibri"/>
          <w:color w:val="000000" w:themeColor="text1"/>
          <w:sz w:val="22"/>
          <w:szCs w:val="22"/>
          <w:lang w:val="en-GB"/>
        </w:rPr>
        <w:t>played a role in the design of the specific capital controls</w:t>
      </w:r>
      <w:r w:rsidR="007B514A" w:rsidRPr="00172E83">
        <w:rPr>
          <w:rFonts w:ascii="Calibri" w:hAnsi="Calibri"/>
          <w:color w:val="000000" w:themeColor="text1"/>
          <w:sz w:val="22"/>
          <w:szCs w:val="22"/>
          <w:lang w:val="en-GB"/>
        </w:rPr>
        <w:t xml:space="preserve">. For instance, </w:t>
      </w:r>
      <w:r w:rsidR="00FC307C" w:rsidRPr="00172E83">
        <w:rPr>
          <w:rFonts w:ascii="Calibri" w:hAnsi="Calibri"/>
          <w:color w:val="000000" w:themeColor="text1"/>
          <w:sz w:val="22"/>
          <w:szCs w:val="22"/>
          <w:lang w:val="en-GB"/>
        </w:rPr>
        <w:t>in a context of mid</w:t>
      </w:r>
      <w:r w:rsidR="00A9220E" w:rsidRPr="00172E83">
        <w:rPr>
          <w:rFonts w:ascii="Calibri" w:hAnsi="Calibri"/>
          <w:color w:val="000000" w:themeColor="text1"/>
          <w:sz w:val="22"/>
          <w:szCs w:val="22"/>
          <w:lang w:val="en-GB"/>
        </w:rPr>
        <w:t xml:space="preserve">-level </w:t>
      </w:r>
      <w:r w:rsidR="00FC307C" w:rsidRPr="00172E83">
        <w:rPr>
          <w:rFonts w:ascii="Calibri" w:hAnsi="Calibri"/>
          <w:color w:val="000000" w:themeColor="text1"/>
          <w:sz w:val="22"/>
          <w:szCs w:val="22"/>
          <w:lang w:val="en-GB"/>
        </w:rPr>
        <w:t xml:space="preserve">sophistication of this market, some administrative controls </w:t>
      </w:r>
      <w:r w:rsidR="00FF7A28" w:rsidRPr="00172E83">
        <w:rPr>
          <w:rFonts w:ascii="Calibri" w:hAnsi="Calibri"/>
          <w:color w:val="000000" w:themeColor="text1"/>
          <w:sz w:val="22"/>
          <w:szCs w:val="22"/>
          <w:lang w:val="en-GB"/>
        </w:rPr>
        <w:t>were</w:t>
      </w:r>
      <w:r w:rsidR="00FC307C" w:rsidRPr="00172E83">
        <w:rPr>
          <w:rFonts w:ascii="Calibri" w:hAnsi="Calibri"/>
          <w:color w:val="000000" w:themeColor="text1"/>
          <w:sz w:val="22"/>
          <w:szCs w:val="22"/>
          <w:lang w:val="en-GB"/>
        </w:rPr>
        <w:t xml:space="preserve"> adopt</w:t>
      </w:r>
      <w:r w:rsidR="00FF7A28" w:rsidRPr="00172E83">
        <w:rPr>
          <w:rFonts w:ascii="Calibri" w:hAnsi="Calibri"/>
          <w:color w:val="000000" w:themeColor="text1"/>
          <w:sz w:val="22"/>
          <w:szCs w:val="22"/>
          <w:lang w:val="en-GB"/>
        </w:rPr>
        <w:t>ed</w:t>
      </w:r>
      <w:r w:rsidR="00FC307C" w:rsidRPr="00172E83">
        <w:rPr>
          <w:rFonts w:ascii="Calibri" w:hAnsi="Calibri"/>
          <w:color w:val="000000" w:themeColor="text1"/>
          <w:sz w:val="22"/>
          <w:szCs w:val="22"/>
          <w:lang w:val="en-GB"/>
        </w:rPr>
        <w:t xml:space="preserve"> to close the loopholes found by private agents to circumvent </w:t>
      </w:r>
      <w:r w:rsidR="005924F5" w:rsidRPr="00172E83">
        <w:rPr>
          <w:rFonts w:ascii="Calibri" w:hAnsi="Calibri"/>
          <w:color w:val="000000" w:themeColor="text1"/>
          <w:sz w:val="22"/>
          <w:szCs w:val="22"/>
          <w:lang w:val="en-GB"/>
        </w:rPr>
        <w:t xml:space="preserve">the </w:t>
      </w:r>
      <w:r w:rsidR="00FC307C" w:rsidRPr="00172E83">
        <w:rPr>
          <w:rFonts w:ascii="Calibri" w:hAnsi="Calibri"/>
          <w:color w:val="000000" w:themeColor="text1"/>
          <w:sz w:val="22"/>
          <w:szCs w:val="22"/>
          <w:lang w:val="en-GB"/>
        </w:rPr>
        <w:t xml:space="preserve">regulations </w:t>
      </w:r>
      <w:r w:rsidR="007A1AD3" w:rsidRPr="00172E83">
        <w:rPr>
          <w:rFonts w:ascii="Calibri" w:hAnsi="Calibri"/>
          <w:color w:val="000000" w:themeColor="text1"/>
          <w:sz w:val="22"/>
          <w:szCs w:val="22"/>
          <w:lang w:val="en-GB"/>
        </w:rPr>
        <w:t>aimed at curbing</w:t>
      </w:r>
      <w:r w:rsidR="004B068B" w:rsidRPr="00172E83">
        <w:rPr>
          <w:rFonts w:ascii="Calibri" w:hAnsi="Calibri"/>
          <w:color w:val="000000" w:themeColor="text1"/>
          <w:sz w:val="22"/>
          <w:szCs w:val="22"/>
          <w:lang w:val="en-GB"/>
        </w:rPr>
        <w:t xml:space="preserve"> short term financial flows</w:t>
      </w:r>
      <w:r w:rsidR="00FC307C" w:rsidRPr="00172E83">
        <w:rPr>
          <w:rFonts w:ascii="Calibri" w:hAnsi="Calibri"/>
          <w:color w:val="000000" w:themeColor="text1"/>
          <w:sz w:val="22"/>
          <w:szCs w:val="22"/>
          <w:lang w:val="en-GB"/>
        </w:rPr>
        <w:t>.</w:t>
      </w:r>
      <w:r w:rsidR="005924F5" w:rsidRPr="00172E83">
        <w:rPr>
          <w:rFonts w:ascii="Calibri" w:hAnsi="Calibri"/>
          <w:color w:val="000000" w:themeColor="text1"/>
          <w:sz w:val="22"/>
          <w:szCs w:val="22"/>
          <w:lang w:val="en-GB"/>
        </w:rPr>
        <w:t xml:space="preserve"> The CARs could not be broader (what would guarantee their effectiveness according the literature summarized in section 2) </w:t>
      </w:r>
      <w:r w:rsidR="007A1AD3" w:rsidRPr="00172E83">
        <w:rPr>
          <w:rFonts w:ascii="Calibri" w:hAnsi="Calibri"/>
          <w:color w:val="000000" w:themeColor="text1"/>
          <w:sz w:val="22"/>
          <w:szCs w:val="22"/>
          <w:lang w:val="en-GB"/>
        </w:rPr>
        <w:t>as the maintenance of the macroeconomic regime depended on continuous capital inflows</w:t>
      </w:r>
      <w:r w:rsidR="00A9220E" w:rsidRPr="00172E83">
        <w:rPr>
          <w:rFonts w:ascii="Calibri" w:hAnsi="Calibri"/>
          <w:color w:val="000000" w:themeColor="text1"/>
          <w:sz w:val="22"/>
          <w:szCs w:val="22"/>
          <w:lang w:val="en-GB"/>
        </w:rPr>
        <w:t>,</w:t>
      </w:r>
      <w:r w:rsidR="004171E0" w:rsidRPr="00172E83">
        <w:rPr>
          <w:rFonts w:ascii="Calibri" w:hAnsi="Calibri"/>
          <w:color w:val="000000" w:themeColor="text1"/>
          <w:sz w:val="22"/>
          <w:szCs w:val="22"/>
          <w:lang w:val="en-GB"/>
        </w:rPr>
        <w:t xml:space="preserve"> </w:t>
      </w:r>
      <w:r w:rsidR="00FF7A28" w:rsidRPr="00172E83">
        <w:rPr>
          <w:rFonts w:ascii="Calibri" w:hAnsi="Calibri"/>
          <w:color w:val="000000" w:themeColor="text1"/>
          <w:sz w:val="22"/>
          <w:szCs w:val="22"/>
          <w:lang w:val="en-GB"/>
        </w:rPr>
        <w:t xml:space="preserve">yet of longer maturity </w:t>
      </w:r>
      <w:r w:rsidR="007A1AD3" w:rsidRPr="00172E83">
        <w:rPr>
          <w:rFonts w:ascii="Calibri" w:hAnsi="Calibri"/>
          <w:color w:val="000000" w:themeColor="text1"/>
          <w:sz w:val="22"/>
          <w:szCs w:val="22"/>
          <w:lang w:val="en-GB"/>
        </w:rPr>
        <w:t xml:space="preserve">in face of high external vulnerability. </w:t>
      </w:r>
    </w:p>
    <w:p w14:paraId="2CC689F8" w14:textId="24100AB7" w:rsidR="004B068B" w:rsidRPr="00172E83" w:rsidRDefault="003F0F4B" w:rsidP="003519BB">
      <w:pPr>
        <w:pStyle w:val="g-texto"/>
        <w:rPr>
          <w:rFonts w:ascii="Calibri" w:hAnsi="Calibri"/>
          <w:color w:val="000000" w:themeColor="text1"/>
          <w:sz w:val="22"/>
          <w:szCs w:val="22"/>
          <w:lang w:val="en-GB"/>
        </w:rPr>
      </w:pPr>
      <w:r w:rsidRPr="00172E83">
        <w:rPr>
          <w:rFonts w:ascii="Calibri" w:hAnsi="Calibri"/>
          <w:color w:val="000000" w:themeColor="text1"/>
          <w:sz w:val="22"/>
          <w:szCs w:val="22"/>
          <w:lang w:val="en-GB"/>
        </w:rPr>
        <w:t>In</w:t>
      </w:r>
      <w:r w:rsidR="00D757F7" w:rsidRPr="00172E83">
        <w:rPr>
          <w:rFonts w:ascii="Calibri" w:hAnsi="Calibri"/>
          <w:color w:val="000000" w:themeColor="text1"/>
          <w:sz w:val="22"/>
          <w:szCs w:val="22"/>
          <w:lang w:val="en-GB"/>
        </w:rPr>
        <w:t xml:space="preserve"> contrast, in the context of </w:t>
      </w:r>
      <w:r w:rsidR="003519BB" w:rsidRPr="00172E83">
        <w:rPr>
          <w:rFonts w:ascii="Calibri" w:hAnsi="Calibri"/>
          <w:color w:val="000000" w:themeColor="text1"/>
          <w:sz w:val="22"/>
          <w:szCs w:val="22"/>
          <w:lang w:val="en-GB"/>
        </w:rPr>
        <w:t xml:space="preserve">the new boom of </w:t>
      </w:r>
      <w:r w:rsidR="00D757F7" w:rsidRPr="00172E83">
        <w:rPr>
          <w:rFonts w:ascii="Calibri" w:hAnsi="Calibri"/>
          <w:color w:val="000000" w:themeColor="text1"/>
          <w:sz w:val="22"/>
          <w:szCs w:val="22"/>
          <w:lang w:val="en-GB"/>
        </w:rPr>
        <w:t>capital flows towards e</w:t>
      </w:r>
      <w:r w:rsidR="004B068B" w:rsidRPr="00172E83">
        <w:rPr>
          <w:rFonts w:ascii="Calibri" w:hAnsi="Calibri"/>
          <w:color w:val="000000" w:themeColor="text1"/>
          <w:sz w:val="22"/>
          <w:szCs w:val="22"/>
          <w:lang w:val="en-GB"/>
        </w:rPr>
        <w:t>merging markets</w:t>
      </w:r>
      <w:r w:rsidR="00180BAB" w:rsidRPr="00172E83">
        <w:rPr>
          <w:rFonts w:ascii="Calibri" w:hAnsi="Calibri"/>
          <w:color w:val="000000" w:themeColor="text1"/>
          <w:sz w:val="22"/>
          <w:szCs w:val="22"/>
          <w:lang w:val="en-GB"/>
        </w:rPr>
        <w:t xml:space="preserve"> after the global financial crisis</w:t>
      </w:r>
      <w:r w:rsidR="00A9220E" w:rsidRPr="00172E83">
        <w:rPr>
          <w:rFonts w:ascii="Calibri" w:hAnsi="Calibri"/>
          <w:color w:val="000000" w:themeColor="text1"/>
          <w:sz w:val="22"/>
          <w:szCs w:val="22"/>
          <w:lang w:val="en-GB"/>
        </w:rPr>
        <w:t xml:space="preserve">, </w:t>
      </w:r>
      <w:r w:rsidR="004B32C2" w:rsidRPr="00172E83">
        <w:rPr>
          <w:rFonts w:ascii="Calibri" w:hAnsi="Calibri"/>
          <w:color w:val="000000" w:themeColor="text1"/>
          <w:sz w:val="22"/>
          <w:szCs w:val="22"/>
          <w:lang w:val="en-GB"/>
        </w:rPr>
        <w:t>specifically</w:t>
      </w:r>
      <w:r w:rsidR="004B068B" w:rsidRPr="00172E83">
        <w:rPr>
          <w:rFonts w:ascii="Calibri" w:hAnsi="Calibri"/>
          <w:color w:val="000000" w:themeColor="text1"/>
          <w:sz w:val="22"/>
          <w:szCs w:val="22"/>
          <w:lang w:val="en-GB"/>
        </w:rPr>
        <w:t xml:space="preserve">, </w:t>
      </w:r>
      <w:r w:rsidR="00A9220E" w:rsidRPr="00172E83">
        <w:rPr>
          <w:rFonts w:ascii="Calibri" w:hAnsi="Calibri"/>
          <w:color w:val="000000" w:themeColor="text1"/>
          <w:sz w:val="22"/>
          <w:szCs w:val="22"/>
          <w:lang w:val="en-GB"/>
        </w:rPr>
        <w:t xml:space="preserve">during </w:t>
      </w:r>
      <w:r w:rsidR="00D757F7" w:rsidRPr="00172E83">
        <w:rPr>
          <w:rFonts w:ascii="Calibri" w:hAnsi="Calibri"/>
          <w:color w:val="000000" w:themeColor="text1"/>
          <w:sz w:val="22"/>
          <w:szCs w:val="22"/>
          <w:lang w:val="en-GB"/>
        </w:rPr>
        <w:t>2009</w:t>
      </w:r>
      <w:r w:rsidR="004B068B" w:rsidRPr="00172E83">
        <w:rPr>
          <w:rFonts w:ascii="Calibri" w:hAnsi="Calibri"/>
          <w:color w:val="000000" w:themeColor="text1"/>
          <w:sz w:val="22"/>
          <w:szCs w:val="22"/>
          <w:lang w:val="en-GB"/>
        </w:rPr>
        <w:t>-11</w:t>
      </w:r>
      <w:r w:rsidR="004B32C2" w:rsidRPr="00172E83">
        <w:rPr>
          <w:rFonts w:ascii="Calibri" w:hAnsi="Calibri"/>
          <w:color w:val="000000" w:themeColor="text1"/>
          <w:sz w:val="22"/>
          <w:szCs w:val="22"/>
          <w:lang w:val="en-GB"/>
        </w:rPr>
        <w:t>,</w:t>
      </w:r>
      <w:r w:rsidR="00D757F7" w:rsidRPr="00172E83">
        <w:rPr>
          <w:rFonts w:ascii="Calibri" w:hAnsi="Calibri"/>
          <w:color w:val="000000" w:themeColor="text1"/>
          <w:sz w:val="22"/>
          <w:szCs w:val="22"/>
          <w:lang w:val="en-GB"/>
        </w:rPr>
        <w:t xml:space="preserve"> the Brazilian government gradually moved towards a macroeconomic strategy where </w:t>
      </w:r>
      <w:r w:rsidR="00D42809" w:rsidRPr="00172E83">
        <w:rPr>
          <w:rFonts w:ascii="Calibri" w:hAnsi="Calibri"/>
          <w:color w:val="000000" w:themeColor="text1"/>
          <w:sz w:val="22"/>
          <w:szCs w:val="22"/>
          <w:lang w:val="en-GB"/>
        </w:rPr>
        <w:t xml:space="preserve">preventing </w:t>
      </w:r>
      <w:r w:rsidR="0084496C" w:rsidRPr="00172E83">
        <w:rPr>
          <w:rFonts w:ascii="Calibri" w:hAnsi="Calibri"/>
          <w:color w:val="000000" w:themeColor="text1"/>
          <w:sz w:val="22"/>
          <w:szCs w:val="22"/>
          <w:lang w:val="en-GB"/>
        </w:rPr>
        <w:t>curren</w:t>
      </w:r>
      <w:r w:rsidR="00D42809" w:rsidRPr="00172E83">
        <w:rPr>
          <w:rFonts w:ascii="Calibri" w:hAnsi="Calibri"/>
          <w:color w:val="000000" w:themeColor="text1"/>
          <w:sz w:val="22"/>
          <w:szCs w:val="22"/>
          <w:lang w:val="en-GB"/>
        </w:rPr>
        <w:t>c</w:t>
      </w:r>
      <w:r w:rsidR="0084496C" w:rsidRPr="00172E83">
        <w:rPr>
          <w:rFonts w:ascii="Calibri" w:hAnsi="Calibri"/>
          <w:color w:val="000000" w:themeColor="text1"/>
          <w:sz w:val="22"/>
          <w:szCs w:val="22"/>
          <w:lang w:val="en-GB"/>
        </w:rPr>
        <w:t>y</w:t>
      </w:r>
      <w:r w:rsidR="00D42809" w:rsidRPr="00172E83">
        <w:rPr>
          <w:rFonts w:ascii="Calibri" w:hAnsi="Calibri"/>
          <w:color w:val="000000" w:themeColor="text1"/>
          <w:sz w:val="22"/>
          <w:szCs w:val="22"/>
          <w:lang w:val="en-GB"/>
        </w:rPr>
        <w:t xml:space="preserve"> </w:t>
      </w:r>
      <w:r w:rsidR="00364399" w:rsidRPr="00172E83">
        <w:rPr>
          <w:rFonts w:ascii="Calibri" w:hAnsi="Calibri"/>
          <w:color w:val="000000" w:themeColor="text1"/>
          <w:sz w:val="22"/>
          <w:szCs w:val="22"/>
          <w:lang w:val="en-GB"/>
        </w:rPr>
        <w:t xml:space="preserve">appreciation </w:t>
      </w:r>
      <w:r w:rsidR="00D757F7" w:rsidRPr="00172E83">
        <w:rPr>
          <w:rFonts w:ascii="Calibri" w:hAnsi="Calibri"/>
          <w:color w:val="000000" w:themeColor="text1"/>
          <w:sz w:val="22"/>
          <w:szCs w:val="22"/>
          <w:lang w:val="en-GB"/>
        </w:rPr>
        <w:t>gained relevance alongside the priority of inflation stabilization</w:t>
      </w:r>
      <w:r w:rsidR="003519BB" w:rsidRPr="00172E83">
        <w:rPr>
          <w:rFonts w:ascii="Calibri" w:hAnsi="Calibri"/>
          <w:color w:val="000000" w:themeColor="text1"/>
          <w:sz w:val="22"/>
          <w:szCs w:val="22"/>
          <w:lang w:val="en-GB"/>
        </w:rPr>
        <w:t xml:space="preserve"> under a macroeconomic regime featured by a dirty floating exchange rate and an inflation target policy</w:t>
      </w:r>
      <w:r w:rsidR="00D757F7" w:rsidRPr="00172E83">
        <w:rPr>
          <w:rFonts w:ascii="Calibri" w:hAnsi="Calibri"/>
          <w:color w:val="000000" w:themeColor="text1"/>
          <w:sz w:val="22"/>
          <w:szCs w:val="22"/>
          <w:lang w:val="en-GB"/>
        </w:rPr>
        <w:t xml:space="preserve">. </w:t>
      </w:r>
      <w:r w:rsidR="003519BB" w:rsidRPr="00172E83">
        <w:rPr>
          <w:rFonts w:asciiTheme="minorHAnsi" w:hAnsiTheme="minorHAnsi"/>
          <w:color w:val="000000" w:themeColor="text1"/>
          <w:sz w:val="22"/>
          <w:szCs w:val="22"/>
          <w:lang w:val="en-US"/>
        </w:rPr>
        <w:t xml:space="preserve">In order to </w:t>
      </w:r>
      <w:r w:rsidR="003519BB" w:rsidRPr="00172E83">
        <w:rPr>
          <w:rFonts w:asciiTheme="minorHAnsi" w:hAnsiTheme="minorHAnsi"/>
          <w:color w:val="000000" w:themeColor="text1"/>
          <w:sz w:val="22"/>
          <w:szCs w:val="22"/>
          <w:lang w:val="en-US" w:eastAsia="ko-KR"/>
        </w:rPr>
        <w:t xml:space="preserve">untie the exchange rate and interest rate movements </w:t>
      </w:r>
      <w:r w:rsidR="003519BB" w:rsidRPr="00172E83">
        <w:rPr>
          <w:rFonts w:asciiTheme="minorHAnsi" w:hAnsiTheme="minorHAnsi"/>
          <w:color w:val="000000" w:themeColor="text1"/>
          <w:sz w:val="22"/>
          <w:szCs w:val="22"/>
          <w:lang w:val="en-US"/>
        </w:rPr>
        <w:t xml:space="preserve">and achieve these </w:t>
      </w:r>
      <w:r w:rsidR="004B068B" w:rsidRPr="00172E83">
        <w:rPr>
          <w:rFonts w:asciiTheme="minorHAnsi" w:hAnsiTheme="minorHAnsi"/>
          <w:color w:val="000000" w:themeColor="text1"/>
          <w:sz w:val="22"/>
          <w:szCs w:val="22"/>
          <w:lang w:val="en-US"/>
        </w:rPr>
        <w:t>aims</w:t>
      </w:r>
      <w:r w:rsidR="005647BA" w:rsidRPr="00172E83">
        <w:rPr>
          <w:rFonts w:ascii="Calibri" w:hAnsi="Calibri"/>
          <w:color w:val="000000" w:themeColor="text1"/>
          <w:sz w:val="22"/>
          <w:szCs w:val="22"/>
          <w:lang w:val="en-GB"/>
        </w:rPr>
        <w:t xml:space="preserve"> in conditions of low external vulnerability</w:t>
      </w:r>
      <w:r w:rsidR="003519BB" w:rsidRPr="00172E83">
        <w:rPr>
          <w:rFonts w:asciiTheme="minorHAnsi" w:hAnsiTheme="minorHAnsi"/>
          <w:color w:val="000000" w:themeColor="text1"/>
          <w:sz w:val="22"/>
          <w:szCs w:val="22"/>
          <w:lang w:val="en-US"/>
        </w:rPr>
        <w:t xml:space="preserve">, policy markers </w:t>
      </w:r>
      <w:r w:rsidR="005647BA" w:rsidRPr="00172E83">
        <w:rPr>
          <w:rFonts w:ascii="Calibri" w:hAnsi="Calibri"/>
          <w:color w:val="000000" w:themeColor="text1"/>
          <w:sz w:val="22"/>
          <w:szCs w:val="22"/>
          <w:lang w:val="en-GB"/>
        </w:rPr>
        <w:t>gave increasing relevance to CARs</w:t>
      </w:r>
      <w:r w:rsidR="00D42809" w:rsidRPr="00172E83">
        <w:rPr>
          <w:rFonts w:ascii="Calibri" w:hAnsi="Calibri"/>
          <w:color w:val="000000" w:themeColor="text1"/>
          <w:sz w:val="22"/>
          <w:szCs w:val="22"/>
          <w:lang w:val="en-GB"/>
        </w:rPr>
        <w:t xml:space="preserve">. </w:t>
      </w:r>
    </w:p>
    <w:p w14:paraId="45C00BFF" w14:textId="0590F995" w:rsidR="006A2E11" w:rsidRPr="00172E83" w:rsidRDefault="00D42809" w:rsidP="004764C9">
      <w:pPr>
        <w:pStyle w:val="g-texto"/>
        <w:rPr>
          <w:rFonts w:asciiTheme="minorHAnsi" w:hAnsiTheme="minorHAnsi"/>
          <w:color w:val="000000" w:themeColor="text1"/>
          <w:sz w:val="22"/>
          <w:szCs w:val="22"/>
          <w:lang w:val="en-US"/>
        </w:rPr>
      </w:pPr>
      <w:r w:rsidRPr="00172E83">
        <w:rPr>
          <w:rFonts w:ascii="Calibri" w:hAnsi="Calibri"/>
          <w:color w:val="000000" w:themeColor="text1"/>
          <w:sz w:val="22"/>
          <w:szCs w:val="22"/>
          <w:lang w:val="en-GB"/>
        </w:rPr>
        <w:t>Yet,</w:t>
      </w:r>
      <w:r w:rsidR="004B068B" w:rsidRPr="00172E83">
        <w:rPr>
          <w:rFonts w:ascii="Calibri" w:hAnsi="Calibri"/>
          <w:color w:val="000000" w:themeColor="text1"/>
          <w:sz w:val="22"/>
          <w:szCs w:val="22"/>
          <w:lang w:val="en-GB"/>
        </w:rPr>
        <w:t xml:space="preserve"> the</w:t>
      </w:r>
      <w:r w:rsidR="00E20CFC" w:rsidRPr="00172E83">
        <w:rPr>
          <w:rFonts w:ascii="Calibri" w:hAnsi="Calibri"/>
          <w:color w:val="000000" w:themeColor="text1"/>
          <w:sz w:val="22"/>
          <w:szCs w:val="22"/>
          <w:lang w:val="en-GB"/>
        </w:rPr>
        <w:t xml:space="preserve"> new institutional features of the Brazilian </w:t>
      </w:r>
      <w:r w:rsidR="004B068B" w:rsidRPr="00172E83">
        <w:rPr>
          <w:rFonts w:ascii="Calibri" w:hAnsi="Calibri"/>
          <w:color w:val="000000" w:themeColor="text1"/>
          <w:sz w:val="22"/>
          <w:szCs w:val="22"/>
          <w:lang w:val="en-GB"/>
        </w:rPr>
        <w:t xml:space="preserve">financial market required the adoption of a </w:t>
      </w:r>
      <w:r w:rsidRPr="00172E83">
        <w:rPr>
          <w:rFonts w:ascii="Calibri" w:hAnsi="Calibri"/>
          <w:color w:val="000000" w:themeColor="text1"/>
          <w:sz w:val="22"/>
          <w:szCs w:val="22"/>
          <w:lang w:val="en-GB"/>
        </w:rPr>
        <w:t xml:space="preserve">more comprehensive </w:t>
      </w:r>
      <w:r w:rsidR="00E20CFC" w:rsidRPr="00172E83">
        <w:rPr>
          <w:rFonts w:ascii="Calibri" w:hAnsi="Calibri"/>
          <w:color w:val="000000" w:themeColor="text1"/>
          <w:sz w:val="22"/>
          <w:szCs w:val="22"/>
          <w:lang w:val="en-GB"/>
        </w:rPr>
        <w:t xml:space="preserve">set </w:t>
      </w:r>
      <w:r w:rsidR="004B068B" w:rsidRPr="00172E83">
        <w:rPr>
          <w:rFonts w:ascii="Calibri" w:hAnsi="Calibri"/>
          <w:color w:val="000000" w:themeColor="text1"/>
          <w:sz w:val="22"/>
          <w:szCs w:val="22"/>
          <w:lang w:val="en-GB"/>
        </w:rPr>
        <w:t>of CARs</w:t>
      </w:r>
      <w:r w:rsidR="00A9220E" w:rsidRPr="00172E83">
        <w:rPr>
          <w:rFonts w:ascii="Calibri" w:hAnsi="Calibri"/>
          <w:color w:val="000000" w:themeColor="text1"/>
          <w:sz w:val="22"/>
          <w:szCs w:val="22"/>
          <w:lang w:val="en-GB"/>
        </w:rPr>
        <w:t xml:space="preserve">. This had to </w:t>
      </w:r>
      <w:r w:rsidR="003519BB" w:rsidRPr="00172E83">
        <w:rPr>
          <w:rFonts w:asciiTheme="minorHAnsi" w:hAnsiTheme="minorHAnsi"/>
          <w:color w:val="000000" w:themeColor="text1"/>
          <w:sz w:val="22"/>
          <w:szCs w:val="22"/>
          <w:lang w:val="en-US"/>
        </w:rPr>
        <w:t xml:space="preserve">encompass not only capital controls on inflows (as in the 1990s), but also </w:t>
      </w:r>
      <w:r w:rsidR="004B068B" w:rsidRPr="00172E83">
        <w:rPr>
          <w:rFonts w:asciiTheme="minorHAnsi" w:hAnsiTheme="minorHAnsi"/>
          <w:color w:val="000000" w:themeColor="text1"/>
          <w:sz w:val="22"/>
          <w:szCs w:val="22"/>
          <w:lang w:val="en-US"/>
        </w:rPr>
        <w:t>financial prudential regulation</w:t>
      </w:r>
      <w:r w:rsidR="004B32C2" w:rsidRPr="00172E83">
        <w:rPr>
          <w:rFonts w:asciiTheme="minorHAnsi" w:hAnsiTheme="minorHAnsi"/>
          <w:color w:val="000000" w:themeColor="text1"/>
          <w:sz w:val="22"/>
          <w:szCs w:val="22"/>
          <w:lang w:val="en-US"/>
        </w:rPr>
        <w:t>s</w:t>
      </w:r>
      <w:r w:rsidR="004B068B" w:rsidRPr="00172E83">
        <w:rPr>
          <w:rFonts w:asciiTheme="minorHAnsi" w:hAnsiTheme="minorHAnsi"/>
          <w:color w:val="000000" w:themeColor="text1"/>
          <w:sz w:val="22"/>
          <w:szCs w:val="22"/>
          <w:lang w:val="en-US"/>
        </w:rPr>
        <w:t xml:space="preserve">. </w:t>
      </w:r>
      <w:r w:rsidR="003519BB" w:rsidRPr="00172E83">
        <w:rPr>
          <w:rFonts w:asciiTheme="minorHAnsi" w:hAnsiTheme="minorHAnsi"/>
          <w:color w:val="000000" w:themeColor="text1"/>
          <w:sz w:val="22"/>
          <w:szCs w:val="22"/>
          <w:lang w:val="en-US" w:eastAsia="ko-KR"/>
        </w:rPr>
        <w:t xml:space="preserve">Further, due to the key role of the FX derivatives markets in the </w:t>
      </w:r>
      <w:r w:rsidR="004E7952" w:rsidRPr="00172E83">
        <w:rPr>
          <w:rFonts w:asciiTheme="minorHAnsi" w:hAnsiTheme="minorHAnsi"/>
          <w:color w:val="000000" w:themeColor="text1"/>
          <w:sz w:val="22"/>
          <w:szCs w:val="22"/>
          <w:lang w:val="en-US" w:eastAsia="ko-KR"/>
        </w:rPr>
        <w:t>determin</w:t>
      </w:r>
      <w:r w:rsidR="00A9220E" w:rsidRPr="00172E83">
        <w:rPr>
          <w:rFonts w:asciiTheme="minorHAnsi" w:hAnsiTheme="minorHAnsi"/>
          <w:color w:val="000000" w:themeColor="text1"/>
          <w:sz w:val="22"/>
          <w:szCs w:val="22"/>
          <w:lang w:val="en-US" w:eastAsia="ko-KR"/>
        </w:rPr>
        <w:t xml:space="preserve">ation of the </w:t>
      </w:r>
      <w:r w:rsidR="003519BB" w:rsidRPr="00172E83">
        <w:rPr>
          <w:rFonts w:asciiTheme="minorHAnsi" w:hAnsiTheme="minorHAnsi"/>
          <w:color w:val="000000" w:themeColor="text1"/>
          <w:sz w:val="22"/>
          <w:szCs w:val="22"/>
          <w:lang w:val="en-US" w:eastAsia="ko-KR"/>
        </w:rPr>
        <w:t xml:space="preserve">exchange rate, </w:t>
      </w:r>
      <w:r w:rsidR="004B32C2" w:rsidRPr="00172E83">
        <w:rPr>
          <w:rFonts w:asciiTheme="minorHAnsi" w:hAnsiTheme="minorHAnsi"/>
          <w:color w:val="000000" w:themeColor="text1"/>
          <w:sz w:val="22"/>
          <w:szCs w:val="22"/>
          <w:lang w:val="en-US" w:eastAsia="ko-KR"/>
        </w:rPr>
        <w:t xml:space="preserve">another class of regulation needed to be adopted, the </w:t>
      </w:r>
      <w:r w:rsidR="004B068B" w:rsidRPr="00172E83">
        <w:rPr>
          <w:rFonts w:asciiTheme="minorHAnsi" w:hAnsiTheme="minorHAnsi"/>
          <w:color w:val="000000" w:themeColor="text1"/>
          <w:sz w:val="22"/>
          <w:szCs w:val="22"/>
          <w:lang w:val="en-US"/>
        </w:rPr>
        <w:t>FXDR</w:t>
      </w:r>
      <w:r w:rsidR="003519BB" w:rsidRPr="00172E83">
        <w:rPr>
          <w:rFonts w:asciiTheme="minorHAnsi" w:hAnsiTheme="minorHAnsi"/>
          <w:color w:val="000000" w:themeColor="text1"/>
          <w:sz w:val="22"/>
          <w:szCs w:val="22"/>
          <w:lang w:val="en-US"/>
        </w:rPr>
        <w:t xml:space="preserve">. </w:t>
      </w:r>
      <w:r w:rsidR="00E20CFC" w:rsidRPr="00172E83">
        <w:rPr>
          <w:rFonts w:asciiTheme="minorHAnsi" w:hAnsiTheme="minorHAnsi"/>
          <w:color w:val="000000" w:themeColor="text1"/>
          <w:sz w:val="22"/>
          <w:szCs w:val="22"/>
          <w:lang w:val="en-US"/>
        </w:rPr>
        <w:t xml:space="preserve">Hence, </w:t>
      </w:r>
      <w:r w:rsidR="00E20CFC" w:rsidRPr="00172E83">
        <w:rPr>
          <w:rFonts w:ascii="Calibri" w:hAnsi="Calibri"/>
          <w:color w:val="000000" w:themeColor="text1"/>
          <w:sz w:val="22"/>
          <w:szCs w:val="22"/>
          <w:lang w:val="en-GB"/>
        </w:rPr>
        <w:t>o</w:t>
      </w:r>
      <w:r w:rsidRPr="00172E83">
        <w:rPr>
          <w:rFonts w:ascii="Calibri" w:hAnsi="Calibri"/>
          <w:color w:val="000000" w:themeColor="text1"/>
          <w:sz w:val="22"/>
          <w:szCs w:val="22"/>
          <w:lang w:val="en-GB"/>
        </w:rPr>
        <w:t xml:space="preserve">ur analysis of the Brazilian case shows that the higher the degree of </w:t>
      </w:r>
      <w:r w:rsidR="00E20CFC" w:rsidRPr="00172E83">
        <w:rPr>
          <w:rFonts w:ascii="Calibri" w:hAnsi="Calibri"/>
          <w:color w:val="000000" w:themeColor="text1"/>
          <w:sz w:val="22"/>
          <w:szCs w:val="22"/>
          <w:lang w:val="en-GB"/>
        </w:rPr>
        <w:t xml:space="preserve">sophistication and </w:t>
      </w:r>
      <w:r w:rsidRPr="00172E83">
        <w:rPr>
          <w:rFonts w:ascii="Calibri" w:hAnsi="Calibri"/>
          <w:color w:val="000000" w:themeColor="text1"/>
          <w:sz w:val="22"/>
          <w:szCs w:val="22"/>
          <w:lang w:val="en-GB"/>
        </w:rPr>
        <w:t>financial openness</w:t>
      </w:r>
      <w:r w:rsidR="004B32C2" w:rsidRPr="00172E83">
        <w:rPr>
          <w:rFonts w:ascii="Calibri" w:hAnsi="Calibri"/>
          <w:color w:val="000000" w:themeColor="text1"/>
          <w:sz w:val="22"/>
          <w:szCs w:val="22"/>
          <w:lang w:val="en-GB"/>
        </w:rPr>
        <w:t xml:space="preserve"> of the domestic financial market</w:t>
      </w:r>
      <w:r w:rsidRPr="00172E83">
        <w:rPr>
          <w:rFonts w:ascii="Calibri" w:hAnsi="Calibri"/>
          <w:color w:val="000000" w:themeColor="text1"/>
          <w:sz w:val="22"/>
          <w:szCs w:val="22"/>
          <w:lang w:val="en-GB"/>
        </w:rPr>
        <w:t xml:space="preserve">, the higher the requirements for a </w:t>
      </w:r>
      <w:r w:rsidR="00E20CFC" w:rsidRPr="00172E83">
        <w:rPr>
          <w:rFonts w:ascii="Calibri" w:hAnsi="Calibri"/>
          <w:color w:val="000000" w:themeColor="text1"/>
          <w:sz w:val="22"/>
          <w:szCs w:val="22"/>
          <w:lang w:val="en-GB"/>
        </w:rPr>
        <w:t xml:space="preserve">more </w:t>
      </w:r>
      <w:r w:rsidRPr="00172E83">
        <w:rPr>
          <w:rFonts w:ascii="Calibri" w:hAnsi="Calibri"/>
          <w:color w:val="000000" w:themeColor="text1"/>
          <w:sz w:val="22"/>
          <w:szCs w:val="22"/>
          <w:lang w:val="en-GB"/>
        </w:rPr>
        <w:t xml:space="preserve">active and comprehensive regulation </w:t>
      </w:r>
      <w:r w:rsidR="004E7952" w:rsidRPr="00172E83">
        <w:rPr>
          <w:rFonts w:ascii="Calibri" w:hAnsi="Calibri"/>
          <w:color w:val="000000" w:themeColor="text1"/>
          <w:sz w:val="22"/>
          <w:szCs w:val="22"/>
          <w:lang w:val="en-GB"/>
        </w:rPr>
        <w:t>to reach the aims of the macroeconomic regime.</w:t>
      </w:r>
      <w:r w:rsidRPr="00172E83">
        <w:rPr>
          <w:rFonts w:ascii="Calibri" w:hAnsi="Calibri"/>
          <w:color w:val="000000" w:themeColor="text1"/>
          <w:sz w:val="22"/>
          <w:szCs w:val="22"/>
          <w:lang w:val="en-GB"/>
        </w:rPr>
        <w:t xml:space="preserve"> </w:t>
      </w:r>
    </w:p>
    <w:p w14:paraId="73990D73" w14:textId="77777777" w:rsidR="004224FA" w:rsidRPr="000C6AC1" w:rsidRDefault="00EF54C6" w:rsidP="004E7952">
      <w:pPr>
        <w:pStyle w:val="berschrift2"/>
        <w:spacing w:after="240"/>
        <w:rPr>
          <w:b/>
          <w:color w:val="000000" w:themeColor="text1"/>
          <w:lang w:val="en-GB"/>
        </w:rPr>
      </w:pPr>
      <w:r w:rsidRPr="000C6AC1">
        <w:rPr>
          <w:b/>
          <w:color w:val="000000" w:themeColor="text1"/>
          <w:lang w:val="en-GB"/>
        </w:rPr>
        <w:t xml:space="preserve">6. </w:t>
      </w:r>
      <w:r w:rsidR="00A75B8C" w:rsidRPr="000C6AC1">
        <w:rPr>
          <w:b/>
          <w:color w:val="000000" w:themeColor="text1"/>
          <w:lang w:val="en-GB"/>
        </w:rPr>
        <w:t>Conclusion</w:t>
      </w:r>
    </w:p>
    <w:p w14:paraId="0664B4A5" w14:textId="09C0D30F" w:rsidR="00DC7839" w:rsidRPr="00172E83" w:rsidRDefault="00326047" w:rsidP="00F03B80">
      <w:pPr>
        <w:pStyle w:val="Padro"/>
        <w:spacing w:after="120" w:line="360" w:lineRule="auto"/>
        <w:jc w:val="both"/>
        <w:rPr>
          <w:rFonts w:ascii="Calibri" w:hAnsi="Calibri"/>
          <w:color w:val="000000" w:themeColor="text1"/>
          <w:sz w:val="22"/>
          <w:szCs w:val="22"/>
          <w:lang w:val="en-US"/>
        </w:rPr>
      </w:pPr>
      <w:r w:rsidRPr="00172E83">
        <w:rPr>
          <w:rFonts w:ascii="Calibri" w:hAnsi="Calibri"/>
          <w:color w:val="000000" w:themeColor="text1"/>
          <w:sz w:val="22"/>
          <w:szCs w:val="22"/>
          <w:lang w:val="en-US"/>
        </w:rPr>
        <w:t>Following the plea from Dani Rodrik that we have to</w:t>
      </w:r>
      <w:r w:rsidR="00F01182" w:rsidRPr="00172E83">
        <w:rPr>
          <w:rFonts w:ascii="Calibri" w:hAnsi="Calibri"/>
          <w:color w:val="000000" w:themeColor="text1"/>
          <w:sz w:val="22"/>
          <w:szCs w:val="22"/>
          <w:lang w:val="en-US"/>
        </w:rPr>
        <w:t xml:space="preserve"> learn </w:t>
      </w:r>
      <w:r w:rsidRPr="00172E83">
        <w:rPr>
          <w:rFonts w:ascii="Calibri" w:hAnsi="Calibri"/>
          <w:color w:val="000000" w:themeColor="text1"/>
          <w:sz w:val="22"/>
          <w:szCs w:val="22"/>
          <w:lang w:val="en-US"/>
        </w:rPr>
        <w:t>more about capital account regulation (CARs), i</w:t>
      </w:r>
      <w:r w:rsidR="004171E0" w:rsidRPr="00172E83">
        <w:rPr>
          <w:rFonts w:ascii="Calibri" w:hAnsi="Calibri"/>
          <w:color w:val="000000" w:themeColor="text1"/>
          <w:sz w:val="22"/>
          <w:szCs w:val="22"/>
          <w:lang w:val="en-US"/>
        </w:rPr>
        <w:t xml:space="preserve">n this paper we </w:t>
      </w:r>
      <w:r w:rsidR="00C3474C" w:rsidRPr="00172E83">
        <w:rPr>
          <w:rFonts w:ascii="Calibri" w:hAnsi="Calibri"/>
          <w:color w:val="000000" w:themeColor="text1"/>
          <w:sz w:val="22"/>
          <w:szCs w:val="22"/>
          <w:lang w:val="en-US"/>
        </w:rPr>
        <w:t xml:space="preserve">focus on the </w:t>
      </w:r>
      <w:r w:rsidRPr="00172E83">
        <w:rPr>
          <w:rFonts w:ascii="Calibri" w:hAnsi="Calibri"/>
          <w:color w:val="000000" w:themeColor="text1"/>
          <w:sz w:val="22"/>
          <w:szCs w:val="22"/>
          <w:lang w:val="en-US"/>
        </w:rPr>
        <w:t>context these measures</w:t>
      </w:r>
      <w:r w:rsidR="00062C4A" w:rsidRPr="00172E83">
        <w:rPr>
          <w:rFonts w:ascii="Calibri" w:hAnsi="Calibri"/>
          <w:color w:val="000000" w:themeColor="text1"/>
          <w:sz w:val="22"/>
          <w:szCs w:val="22"/>
          <w:lang w:val="en-US"/>
        </w:rPr>
        <w:t xml:space="preserve"> are adopted</w:t>
      </w:r>
      <w:r w:rsidR="009F1FCE" w:rsidRPr="00172E83">
        <w:rPr>
          <w:rFonts w:ascii="Calibri" w:hAnsi="Calibri"/>
          <w:color w:val="000000" w:themeColor="text1"/>
          <w:sz w:val="22"/>
          <w:szCs w:val="22"/>
          <w:lang w:val="en-US"/>
        </w:rPr>
        <w:t xml:space="preserve"> in</w:t>
      </w:r>
      <w:r w:rsidRPr="00172E83">
        <w:rPr>
          <w:rFonts w:ascii="Calibri" w:hAnsi="Calibri"/>
          <w:color w:val="000000" w:themeColor="text1"/>
          <w:sz w:val="22"/>
          <w:szCs w:val="22"/>
          <w:lang w:val="en-US"/>
        </w:rPr>
        <w:t xml:space="preserve">. </w:t>
      </w:r>
      <w:r w:rsidR="00693660" w:rsidRPr="00172E83">
        <w:rPr>
          <w:rFonts w:ascii="Calibri" w:hAnsi="Calibri"/>
          <w:color w:val="000000" w:themeColor="text1"/>
          <w:sz w:val="22"/>
          <w:szCs w:val="22"/>
          <w:lang w:val="en-US"/>
        </w:rPr>
        <w:t>W</w:t>
      </w:r>
      <w:r w:rsidR="00C3474C" w:rsidRPr="00172E83">
        <w:rPr>
          <w:rFonts w:ascii="Calibri" w:hAnsi="Calibri"/>
          <w:color w:val="000000" w:themeColor="text1"/>
          <w:sz w:val="22"/>
          <w:szCs w:val="22"/>
          <w:lang w:val="en-US"/>
        </w:rPr>
        <w:t xml:space="preserve">e argue that </w:t>
      </w:r>
      <w:r w:rsidR="00AE0388" w:rsidRPr="00172E83">
        <w:rPr>
          <w:rFonts w:ascii="Calibri" w:hAnsi="Calibri"/>
          <w:color w:val="000000" w:themeColor="text1"/>
          <w:sz w:val="22"/>
          <w:szCs w:val="22"/>
          <w:lang w:val="en-US"/>
        </w:rPr>
        <w:t xml:space="preserve">most literature until now has </w:t>
      </w:r>
      <w:r w:rsidR="00483EDD" w:rsidRPr="00172E83">
        <w:rPr>
          <w:rFonts w:ascii="Calibri" w:hAnsi="Calibri"/>
          <w:color w:val="000000" w:themeColor="text1"/>
          <w:sz w:val="22"/>
          <w:szCs w:val="22"/>
          <w:lang w:val="en-US"/>
        </w:rPr>
        <w:t xml:space="preserve">discussed technical aspects of CARs and their efficiency, </w:t>
      </w:r>
      <w:r w:rsidR="00AE0388" w:rsidRPr="00172E83">
        <w:rPr>
          <w:rFonts w:ascii="Calibri" w:hAnsi="Calibri"/>
          <w:color w:val="000000" w:themeColor="text1"/>
          <w:sz w:val="22"/>
          <w:szCs w:val="22"/>
          <w:lang w:val="en-US"/>
        </w:rPr>
        <w:t>oversee</w:t>
      </w:r>
      <w:r w:rsidR="00483EDD" w:rsidRPr="00172E83">
        <w:rPr>
          <w:rFonts w:ascii="Calibri" w:hAnsi="Calibri"/>
          <w:color w:val="000000" w:themeColor="text1"/>
          <w:sz w:val="22"/>
          <w:szCs w:val="22"/>
          <w:lang w:val="en-US"/>
        </w:rPr>
        <w:t xml:space="preserve">ing </w:t>
      </w:r>
      <w:r w:rsidR="00AE0388" w:rsidRPr="00172E83">
        <w:rPr>
          <w:rFonts w:ascii="Calibri" w:hAnsi="Calibri"/>
          <w:color w:val="000000" w:themeColor="text1"/>
          <w:sz w:val="22"/>
          <w:szCs w:val="22"/>
          <w:lang w:val="en-US"/>
        </w:rPr>
        <w:t>th</w:t>
      </w:r>
      <w:r w:rsidR="00483EDD" w:rsidRPr="00172E83">
        <w:rPr>
          <w:rFonts w:ascii="Calibri" w:hAnsi="Calibri"/>
          <w:color w:val="000000" w:themeColor="text1"/>
          <w:sz w:val="22"/>
          <w:szCs w:val="22"/>
          <w:lang w:val="en-US"/>
        </w:rPr>
        <w:t xml:space="preserve">eir </w:t>
      </w:r>
      <w:r w:rsidR="00C3474C" w:rsidRPr="00172E83">
        <w:rPr>
          <w:rFonts w:ascii="Calibri" w:hAnsi="Calibri"/>
          <w:color w:val="000000" w:themeColor="text1"/>
          <w:sz w:val="22"/>
          <w:szCs w:val="22"/>
          <w:lang w:val="en-US"/>
        </w:rPr>
        <w:t>strong depend</w:t>
      </w:r>
      <w:r w:rsidR="00483EDD" w:rsidRPr="00172E83">
        <w:rPr>
          <w:rFonts w:ascii="Calibri" w:hAnsi="Calibri"/>
          <w:color w:val="000000" w:themeColor="text1"/>
          <w:sz w:val="22"/>
          <w:szCs w:val="22"/>
          <w:lang w:val="en-US"/>
        </w:rPr>
        <w:t>ency</w:t>
      </w:r>
      <w:r w:rsidR="00C3474C" w:rsidRPr="00172E83">
        <w:rPr>
          <w:rFonts w:ascii="Calibri" w:hAnsi="Calibri"/>
          <w:color w:val="000000" w:themeColor="text1"/>
          <w:sz w:val="22"/>
          <w:szCs w:val="22"/>
          <w:lang w:val="en-US"/>
        </w:rPr>
        <w:t xml:space="preserve"> on the broader </w:t>
      </w:r>
      <w:r w:rsidR="00AE0388" w:rsidRPr="00172E83">
        <w:rPr>
          <w:rFonts w:ascii="Calibri" w:hAnsi="Calibri"/>
          <w:color w:val="000000" w:themeColor="text1"/>
          <w:sz w:val="22"/>
          <w:szCs w:val="22"/>
          <w:lang w:val="en-US"/>
        </w:rPr>
        <w:t xml:space="preserve">economic </w:t>
      </w:r>
      <w:r w:rsidR="00483EDD" w:rsidRPr="00172E83">
        <w:rPr>
          <w:rFonts w:ascii="Calibri" w:hAnsi="Calibri"/>
          <w:color w:val="000000" w:themeColor="text1"/>
          <w:sz w:val="22"/>
          <w:szCs w:val="22"/>
          <w:lang w:val="en-US"/>
        </w:rPr>
        <w:t>setting</w:t>
      </w:r>
      <w:r w:rsidR="00C3474C" w:rsidRPr="00172E83">
        <w:rPr>
          <w:rFonts w:ascii="Calibri" w:hAnsi="Calibri"/>
          <w:color w:val="000000" w:themeColor="text1"/>
          <w:sz w:val="22"/>
          <w:szCs w:val="22"/>
          <w:lang w:val="en-US"/>
        </w:rPr>
        <w:t xml:space="preserve"> of a country. </w:t>
      </w:r>
      <w:r w:rsidR="00DC7839" w:rsidRPr="00172E83">
        <w:rPr>
          <w:rFonts w:ascii="Calibri" w:hAnsi="Calibri"/>
          <w:color w:val="000000" w:themeColor="text1"/>
          <w:sz w:val="22"/>
          <w:szCs w:val="22"/>
          <w:lang w:val="en-US"/>
        </w:rPr>
        <w:t xml:space="preserve">Using the concept of macroeconomic regime, we bring to light firstly the interdependency between macroeconomic constraints and the macroeconomic regime, and between macroeconomic policy, the institutional framework and CARs. </w:t>
      </w:r>
      <w:r w:rsidR="00483EDD" w:rsidRPr="00172E83">
        <w:rPr>
          <w:rFonts w:ascii="Calibri" w:hAnsi="Calibri"/>
          <w:color w:val="000000" w:themeColor="text1"/>
          <w:sz w:val="22"/>
          <w:szCs w:val="22"/>
          <w:lang w:val="en-US"/>
        </w:rPr>
        <w:t xml:space="preserve">Indeed, the understanding of how these regulations are designed is keen to evaluate their performance and, hence, potential efficiency. </w:t>
      </w:r>
    </w:p>
    <w:p w14:paraId="4CC64361" w14:textId="5F2D6E18" w:rsidR="001D47B7" w:rsidRPr="00172E83" w:rsidRDefault="00693660" w:rsidP="00F03B80">
      <w:pPr>
        <w:pStyle w:val="Padro"/>
        <w:spacing w:after="120" w:line="360" w:lineRule="auto"/>
        <w:jc w:val="both"/>
        <w:rPr>
          <w:rFonts w:ascii="Calibri" w:hAnsi="Calibri"/>
          <w:color w:val="000000" w:themeColor="text1"/>
          <w:sz w:val="22"/>
          <w:szCs w:val="22"/>
          <w:lang w:val="en-US"/>
        </w:rPr>
      </w:pPr>
      <w:r w:rsidRPr="00172E83">
        <w:rPr>
          <w:rFonts w:ascii="Calibri" w:hAnsi="Calibri"/>
          <w:color w:val="000000" w:themeColor="text1"/>
          <w:sz w:val="22"/>
          <w:szCs w:val="22"/>
          <w:lang w:val="en-US"/>
        </w:rPr>
        <w:t>To test this, we chose to compare the regulation of capital flows within one country in two different periods, where at the technical level rather similar CARs where applied, but ha</w:t>
      </w:r>
      <w:r w:rsidR="00062C4A" w:rsidRPr="00172E83">
        <w:rPr>
          <w:rFonts w:ascii="Calibri" w:hAnsi="Calibri"/>
          <w:color w:val="000000" w:themeColor="text1"/>
          <w:sz w:val="22"/>
          <w:szCs w:val="22"/>
          <w:lang w:val="en-US"/>
        </w:rPr>
        <w:t>d</w:t>
      </w:r>
      <w:r w:rsidRPr="00172E83">
        <w:rPr>
          <w:rFonts w:ascii="Calibri" w:hAnsi="Calibri"/>
          <w:color w:val="000000" w:themeColor="text1"/>
          <w:sz w:val="22"/>
          <w:szCs w:val="22"/>
          <w:lang w:val="en-US"/>
        </w:rPr>
        <w:t xml:space="preserve"> different designs especially regarding aims and targets, due to strongly differing macroeconomic regimes and macroeconomic challenges. With the exchange rate playing the main role of inflation stabilization, </w:t>
      </w:r>
      <w:r w:rsidR="00F01182" w:rsidRPr="00172E83">
        <w:rPr>
          <w:rFonts w:ascii="Calibri" w:hAnsi="Calibri"/>
          <w:color w:val="000000" w:themeColor="text1"/>
          <w:sz w:val="22"/>
          <w:szCs w:val="22"/>
          <w:lang w:val="en-US"/>
        </w:rPr>
        <w:t xml:space="preserve">for instance, stabilization of capital inflows has to be </w:t>
      </w:r>
      <w:r w:rsidR="009F1FCE" w:rsidRPr="00172E83">
        <w:rPr>
          <w:rFonts w:ascii="Calibri" w:hAnsi="Calibri"/>
          <w:color w:val="000000" w:themeColor="text1"/>
          <w:sz w:val="22"/>
          <w:szCs w:val="22"/>
          <w:lang w:val="en-US"/>
        </w:rPr>
        <w:t xml:space="preserve">the </w:t>
      </w:r>
      <w:r w:rsidR="00F01182" w:rsidRPr="00172E83">
        <w:rPr>
          <w:rFonts w:ascii="Calibri" w:hAnsi="Calibri"/>
          <w:color w:val="000000" w:themeColor="text1"/>
          <w:sz w:val="22"/>
          <w:szCs w:val="22"/>
          <w:lang w:val="en-US"/>
        </w:rPr>
        <w:t xml:space="preserve">major policy goal, so that CARs cannot aim </w:t>
      </w:r>
      <w:r w:rsidR="009F1FCE" w:rsidRPr="00172E83">
        <w:rPr>
          <w:rFonts w:ascii="Calibri" w:hAnsi="Calibri"/>
          <w:color w:val="000000" w:themeColor="text1"/>
          <w:sz w:val="22"/>
          <w:szCs w:val="22"/>
          <w:lang w:val="en-US"/>
        </w:rPr>
        <w:t xml:space="preserve">at </w:t>
      </w:r>
      <w:r w:rsidR="00F01182" w:rsidRPr="00172E83">
        <w:rPr>
          <w:rFonts w:ascii="Calibri" w:hAnsi="Calibri"/>
          <w:color w:val="000000" w:themeColor="text1"/>
          <w:sz w:val="22"/>
          <w:szCs w:val="22"/>
          <w:lang w:val="en-US"/>
        </w:rPr>
        <w:t>reducing these inflows. Even less regarded in the literature is the s</w:t>
      </w:r>
      <w:r w:rsidR="00F03B80" w:rsidRPr="00172E83">
        <w:rPr>
          <w:rFonts w:ascii="Calibri" w:hAnsi="Calibri"/>
          <w:color w:val="000000" w:themeColor="text1"/>
          <w:sz w:val="22"/>
          <w:szCs w:val="22"/>
          <w:lang w:val="en-US"/>
        </w:rPr>
        <w:t xml:space="preserve">tate </w:t>
      </w:r>
      <w:r w:rsidR="00F01182" w:rsidRPr="00172E83">
        <w:rPr>
          <w:rFonts w:ascii="Calibri" w:hAnsi="Calibri"/>
          <w:color w:val="000000" w:themeColor="text1"/>
          <w:sz w:val="22"/>
          <w:szCs w:val="22"/>
          <w:lang w:val="en-US"/>
        </w:rPr>
        <w:t xml:space="preserve">of external vulnerability, which again strongly influences whether CARs can be oriented towards reducing the volume of inflows or </w:t>
      </w:r>
      <w:r w:rsidR="00F03B80" w:rsidRPr="00172E83">
        <w:rPr>
          <w:rFonts w:ascii="Calibri" w:hAnsi="Calibri"/>
          <w:color w:val="000000" w:themeColor="text1"/>
          <w:sz w:val="22"/>
          <w:szCs w:val="22"/>
          <w:lang w:val="en-US"/>
        </w:rPr>
        <w:t xml:space="preserve">only towards </w:t>
      </w:r>
      <w:r w:rsidR="00F01182" w:rsidRPr="00172E83">
        <w:rPr>
          <w:rFonts w:ascii="Calibri" w:hAnsi="Calibri"/>
          <w:color w:val="000000" w:themeColor="text1"/>
          <w:sz w:val="22"/>
          <w:szCs w:val="22"/>
          <w:lang w:val="en-US"/>
        </w:rPr>
        <w:t xml:space="preserve">a lengthening of </w:t>
      </w:r>
      <w:r w:rsidR="00062C4A" w:rsidRPr="00172E83">
        <w:rPr>
          <w:rFonts w:ascii="Calibri" w:hAnsi="Calibri"/>
          <w:color w:val="000000" w:themeColor="text1"/>
          <w:sz w:val="22"/>
          <w:szCs w:val="22"/>
          <w:lang w:val="en-US"/>
        </w:rPr>
        <w:t xml:space="preserve">their </w:t>
      </w:r>
      <w:r w:rsidR="00F03B80" w:rsidRPr="00172E83">
        <w:rPr>
          <w:rFonts w:ascii="Calibri" w:hAnsi="Calibri"/>
          <w:color w:val="000000" w:themeColor="text1"/>
          <w:sz w:val="22"/>
          <w:szCs w:val="22"/>
          <w:lang w:val="en-US"/>
        </w:rPr>
        <w:t xml:space="preserve">maturities. The comparison of two periods in </w:t>
      </w:r>
      <w:r w:rsidR="005E40CA" w:rsidRPr="00172E83">
        <w:rPr>
          <w:rFonts w:ascii="Calibri" w:hAnsi="Calibri"/>
          <w:color w:val="000000" w:themeColor="text1"/>
          <w:sz w:val="22"/>
          <w:szCs w:val="22"/>
          <w:lang w:val="en-US"/>
        </w:rPr>
        <w:t>B</w:t>
      </w:r>
      <w:r w:rsidR="00F03B80" w:rsidRPr="00172E83">
        <w:rPr>
          <w:rFonts w:ascii="Calibri" w:hAnsi="Calibri"/>
          <w:color w:val="000000" w:themeColor="text1"/>
          <w:sz w:val="22"/>
          <w:szCs w:val="22"/>
          <w:lang w:val="en-US"/>
        </w:rPr>
        <w:t xml:space="preserve">razil also demonstrates that </w:t>
      </w:r>
      <w:r w:rsidR="007D356E" w:rsidRPr="00172E83">
        <w:rPr>
          <w:rFonts w:ascii="Calibri" w:hAnsi="Calibri"/>
          <w:color w:val="000000" w:themeColor="text1"/>
          <w:sz w:val="22"/>
          <w:szCs w:val="22"/>
          <w:lang w:val="en-US"/>
        </w:rPr>
        <w:t>institutional features of the financial market</w:t>
      </w:r>
      <w:r w:rsidR="00F03B80" w:rsidRPr="00172E83">
        <w:rPr>
          <w:rFonts w:ascii="Calibri" w:hAnsi="Calibri"/>
          <w:color w:val="000000" w:themeColor="text1"/>
          <w:sz w:val="22"/>
          <w:szCs w:val="22"/>
          <w:lang w:val="en-US"/>
        </w:rPr>
        <w:t xml:space="preserve">, </w:t>
      </w:r>
      <w:r w:rsidR="007D356E" w:rsidRPr="00172E83">
        <w:rPr>
          <w:rFonts w:ascii="Calibri" w:hAnsi="Calibri"/>
          <w:color w:val="000000" w:themeColor="text1"/>
          <w:sz w:val="22"/>
          <w:szCs w:val="22"/>
          <w:lang w:val="en-US"/>
        </w:rPr>
        <w:t>mainly, its degree of sophistication and openness</w:t>
      </w:r>
      <w:r w:rsidR="00F03B80" w:rsidRPr="00172E83">
        <w:rPr>
          <w:rFonts w:ascii="Calibri" w:hAnsi="Calibri"/>
          <w:color w:val="000000" w:themeColor="text1"/>
          <w:sz w:val="22"/>
          <w:szCs w:val="22"/>
          <w:lang w:val="en-US"/>
        </w:rPr>
        <w:t xml:space="preserve"> </w:t>
      </w:r>
      <w:r w:rsidR="007D356E" w:rsidRPr="00172E83">
        <w:rPr>
          <w:rFonts w:ascii="Calibri" w:hAnsi="Calibri"/>
          <w:color w:val="000000" w:themeColor="text1"/>
          <w:sz w:val="22"/>
          <w:szCs w:val="22"/>
          <w:lang w:val="en-US"/>
        </w:rPr>
        <w:t xml:space="preserve">shape the specific tools to be put in place to achieve these aims. </w:t>
      </w:r>
    </w:p>
    <w:p w14:paraId="6D13BA3A" w14:textId="622224C6" w:rsidR="00A75B8C" w:rsidRPr="00172E83" w:rsidRDefault="00D2191D" w:rsidP="00D2191D">
      <w:pPr>
        <w:pStyle w:val="Padro"/>
        <w:spacing w:after="120" w:line="360" w:lineRule="auto"/>
        <w:jc w:val="both"/>
        <w:rPr>
          <w:rFonts w:ascii="Calibri" w:hAnsi="Calibri"/>
          <w:bCs/>
          <w:color w:val="000000" w:themeColor="text1"/>
          <w:sz w:val="22"/>
          <w:szCs w:val="22"/>
          <w:lang w:val="en-US"/>
        </w:rPr>
      </w:pPr>
      <w:r w:rsidRPr="00172E83">
        <w:rPr>
          <w:rFonts w:ascii="Calibri" w:hAnsi="Calibri"/>
          <w:color w:val="000000" w:themeColor="text1"/>
          <w:sz w:val="22"/>
          <w:szCs w:val="22"/>
          <w:lang w:val="en-GB"/>
        </w:rPr>
        <w:t xml:space="preserve">This analytical framework </w:t>
      </w:r>
      <w:r w:rsidRPr="00172E83">
        <w:rPr>
          <w:rFonts w:ascii="Calibri" w:hAnsi="Calibri"/>
          <w:bCs/>
          <w:color w:val="000000" w:themeColor="text1"/>
          <w:sz w:val="22"/>
          <w:szCs w:val="22"/>
          <w:lang w:val="en-US"/>
        </w:rPr>
        <w:t>on the design of CARs</w:t>
      </w:r>
      <w:r w:rsidRPr="00172E83">
        <w:rPr>
          <w:rFonts w:ascii="Calibri" w:hAnsi="Calibri"/>
          <w:color w:val="000000" w:themeColor="text1"/>
          <w:sz w:val="22"/>
          <w:szCs w:val="22"/>
          <w:lang w:val="en-GB"/>
        </w:rPr>
        <w:t xml:space="preserve"> </w:t>
      </w:r>
      <w:r w:rsidR="00F03B80" w:rsidRPr="00172E83">
        <w:rPr>
          <w:rFonts w:ascii="Calibri" w:hAnsi="Calibri"/>
          <w:color w:val="000000" w:themeColor="text1"/>
          <w:sz w:val="22"/>
          <w:szCs w:val="22"/>
          <w:lang w:val="en-GB"/>
        </w:rPr>
        <w:t xml:space="preserve">is an important </w:t>
      </w:r>
      <w:r w:rsidR="00F03B80" w:rsidRPr="00172E83">
        <w:rPr>
          <w:rFonts w:ascii="Calibri" w:hAnsi="Calibri"/>
          <w:bCs/>
          <w:color w:val="000000" w:themeColor="text1"/>
          <w:sz w:val="22"/>
          <w:szCs w:val="22"/>
          <w:lang w:val="en-US"/>
        </w:rPr>
        <w:t xml:space="preserve">complement of </w:t>
      </w:r>
      <w:r w:rsidRPr="00172E83">
        <w:rPr>
          <w:rFonts w:ascii="Calibri" w:hAnsi="Calibri"/>
          <w:bCs/>
          <w:color w:val="000000" w:themeColor="text1"/>
          <w:sz w:val="22"/>
          <w:szCs w:val="22"/>
          <w:lang w:val="en-US"/>
        </w:rPr>
        <w:t xml:space="preserve">econometric studies on the </w:t>
      </w:r>
      <w:r w:rsidR="00A75B8C" w:rsidRPr="00172E83">
        <w:rPr>
          <w:rFonts w:ascii="Calibri" w:hAnsi="Calibri"/>
          <w:bCs/>
          <w:color w:val="000000" w:themeColor="text1"/>
          <w:sz w:val="22"/>
          <w:szCs w:val="22"/>
          <w:lang w:val="en-US"/>
        </w:rPr>
        <w:t>effectiveness of CAR</w:t>
      </w:r>
      <w:r w:rsidR="00064E28" w:rsidRPr="00172E83">
        <w:rPr>
          <w:rFonts w:ascii="Calibri" w:hAnsi="Calibri"/>
          <w:bCs/>
          <w:color w:val="000000" w:themeColor="text1"/>
          <w:sz w:val="22"/>
          <w:szCs w:val="22"/>
          <w:lang w:val="en-US"/>
        </w:rPr>
        <w:t>s</w:t>
      </w:r>
      <w:r w:rsidR="00A75B8C" w:rsidRPr="00172E83">
        <w:rPr>
          <w:rFonts w:ascii="Calibri" w:hAnsi="Calibri"/>
          <w:bCs/>
          <w:color w:val="000000" w:themeColor="text1"/>
          <w:sz w:val="22"/>
          <w:szCs w:val="22"/>
          <w:lang w:val="en-US"/>
        </w:rPr>
        <w:t xml:space="preserve">. </w:t>
      </w:r>
      <w:r w:rsidR="00064E28" w:rsidRPr="00172E83">
        <w:rPr>
          <w:rFonts w:ascii="Calibri" w:hAnsi="Calibri"/>
          <w:color w:val="000000" w:themeColor="text1"/>
          <w:sz w:val="22"/>
          <w:szCs w:val="22"/>
          <w:lang w:val="en-US"/>
        </w:rPr>
        <w:t>We expect similar variables to be key for their design in other cases. T</w:t>
      </w:r>
      <w:r w:rsidR="00F03B80" w:rsidRPr="00172E83">
        <w:rPr>
          <w:rFonts w:ascii="Calibri" w:hAnsi="Calibri"/>
          <w:bCs/>
          <w:color w:val="000000" w:themeColor="text1"/>
          <w:sz w:val="22"/>
          <w:szCs w:val="22"/>
          <w:lang w:val="en-US"/>
        </w:rPr>
        <w:t>o test for the</w:t>
      </w:r>
      <w:r w:rsidR="00064E28" w:rsidRPr="00172E83">
        <w:rPr>
          <w:rFonts w:ascii="Calibri" w:hAnsi="Calibri"/>
          <w:bCs/>
          <w:color w:val="000000" w:themeColor="text1"/>
          <w:sz w:val="22"/>
          <w:szCs w:val="22"/>
          <w:lang w:val="en-US"/>
        </w:rPr>
        <w:t>ir</w:t>
      </w:r>
      <w:r w:rsidR="00F03B80" w:rsidRPr="00172E83">
        <w:rPr>
          <w:rFonts w:ascii="Calibri" w:hAnsi="Calibri"/>
          <w:bCs/>
          <w:color w:val="000000" w:themeColor="text1"/>
          <w:sz w:val="22"/>
          <w:szCs w:val="22"/>
          <w:lang w:val="en-US"/>
        </w:rPr>
        <w:t xml:space="preserve"> robustness</w:t>
      </w:r>
      <w:r w:rsidR="00064E28" w:rsidRPr="00172E83">
        <w:rPr>
          <w:rFonts w:ascii="Calibri" w:hAnsi="Calibri"/>
          <w:bCs/>
          <w:color w:val="000000" w:themeColor="text1"/>
          <w:sz w:val="22"/>
          <w:szCs w:val="22"/>
          <w:lang w:val="en-US"/>
        </w:rPr>
        <w:t>,</w:t>
      </w:r>
      <w:r w:rsidR="00F03B80" w:rsidRPr="00172E83">
        <w:rPr>
          <w:rFonts w:ascii="Calibri" w:hAnsi="Calibri"/>
          <w:bCs/>
          <w:color w:val="000000" w:themeColor="text1"/>
          <w:sz w:val="22"/>
          <w:szCs w:val="22"/>
          <w:lang w:val="en-US"/>
        </w:rPr>
        <w:t xml:space="preserve"> however, </w:t>
      </w:r>
      <w:r w:rsidR="00064E28" w:rsidRPr="00172E83">
        <w:rPr>
          <w:rFonts w:ascii="Calibri" w:hAnsi="Calibri"/>
          <w:bCs/>
          <w:color w:val="000000" w:themeColor="text1"/>
          <w:sz w:val="22"/>
          <w:szCs w:val="22"/>
          <w:lang w:val="en-US"/>
        </w:rPr>
        <w:t>further studies have to be undertaken</w:t>
      </w:r>
      <w:r w:rsidR="005E40CA" w:rsidRPr="00172E83">
        <w:rPr>
          <w:rFonts w:ascii="Calibri" w:hAnsi="Calibri"/>
          <w:bCs/>
          <w:color w:val="000000" w:themeColor="text1"/>
          <w:sz w:val="22"/>
          <w:szCs w:val="22"/>
          <w:lang w:val="en-US"/>
        </w:rPr>
        <w:t xml:space="preserve">, being it </w:t>
      </w:r>
      <w:r w:rsidR="00064E28" w:rsidRPr="00172E83">
        <w:rPr>
          <w:rFonts w:ascii="Calibri" w:hAnsi="Calibri"/>
          <w:bCs/>
          <w:color w:val="000000" w:themeColor="text1"/>
          <w:sz w:val="22"/>
          <w:szCs w:val="22"/>
          <w:lang w:val="en-US"/>
        </w:rPr>
        <w:t xml:space="preserve">a research design of </w:t>
      </w:r>
      <w:r w:rsidR="005E40CA" w:rsidRPr="00172E83">
        <w:rPr>
          <w:rFonts w:ascii="Calibri" w:hAnsi="Calibri"/>
          <w:bCs/>
          <w:color w:val="000000" w:themeColor="text1"/>
          <w:sz w:val="22"/>
          <w:szCs w:val="22"/>
          <w:lang w:val="en-US"/>
        </w:rPr>
        <w:t>single case studies or comparative analysis</w:t>
      </w:r>
      <w:r w:rsidR="00064E28" w:rsidRPr="00172E83">
        <w:rPr>
          <w:rFonts w:ascii="Calibri" w:hAnsi="Calibri"/>
          <w:bCs/>
          <w:color w:val="000000" w:themeColor="text1"/>
          <w:sz w:val="22"/>
          <w:szCs w:val="22"/>
          <w:lang w:val="en-US"/>
        </w:rPr>
        <w:t xml:space="preserve"> among the group of emerging </w:t>
      </w:r>
      <w:r w:rsidR="00F03B80" w:rsidRPr="00172E83">
        <w:rPr>
          <w:rFonts w:ascii="Calibri" w:hAnsi="Calibri"/>
          <w:bCs/>
          <w:color w:val="000000" w:themeColor="text1"/>
          <w:sz w:val="22"/>
          <w:szCs w:val="22"/>
          <w:lang w:val="en-US"/>
        </w:rPr>
        <w:t xml:space="preserve">market countries. We leave this to future research. </w:t>
      </w:r>
    </w:p>
    <w:p w14:paraId="202B3E5C" w14:textId="77777777" w:rsidR="00EF54C6" w:rsidRPr="00172E83" w:rsidRDefault="00EF54C6" w:rsidP="003372A1">
      <w:pPr>
        <w:pStyle w:val="Padro"/>
        <w:rPr>
          <w:rFonts w:ascii="Calibri" w:hAnsi="Calibri"/>
          <w:b/>
          <w:bCs/>
          <w:color w:val="000000" w:themeColor="text1"/>
          <w:sz w:val="22"/>
          <w:szCs w:val="22"/>
          <w:lang w:val="en-US"/>
        </w:rPr>
      </w:pPr>
    </w:p>
    <w:p w14:paraId="36041E66" w14:textId="77777777" w:rsidR="003372A1" w:rsidRPr="000C6AC1" w:rsidRDefault="00D757F7" w:rsidP="00EF54C6">
      <w:pPr>
        <w:pStyle w:val="berschrift2"/>
        <w:rPr>
          <w:b/>
          <w:color w:val="000000" w:themeColor="text1"/>
          <w:lang w:val="en-US"/>
        </w:rPr>
      </w:pPr>
      <w:r w:rsidRPr="000C6AC1">
        <w:rPr>
          <w:b/>
          <w:color w:val="000000" w:themeColor="text1"/>
          <w:lang w:val="en-US"/>
        </w:rPr>
        <w:t xml:space="preserve">Bibliography </w:t>
      </w:r>
    </w:p>
    <w:p w14:paraId="570EF3C3" w14:textId="77777777" w:rsidR="00BE5702" w:rsidRPr="00172E83" w:rsidRDefault="00BE5702" w:rsidP="003372A1">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Archer, D. (2005) Foreign exchange market intervention: methods and tactics, BIS Papers, n. 24.</w:t>
      </w:r>
    </w:p>
    <w:p w14:paraId="73AA6F55" w14:textId="77777777" w:rsidR="003372A1" w:rsidRPr="00172E83" w:rsidRDefault="00045E33" w:rsidP="003372A1">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Ariyoshi, A</w:t>
      </w:r>
      <w:r w:rsidR="00C5352B"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Habermeier, </w:t>
      </w:r>
      <w:r w:rsidR="00C5352B" w:rsidRPr="00172E83">
        <w:rPr>
          <w:rFonts w:asciiTheme="minorHAnsi" w:hAnsiTheme="minorHAnsi"/>
          <w:color w:val="000000" w:themeColor="text1"/>
          <w:sz w:val="22"/>
          <w:szCs w:val="22"/>
          <w:lang w:val="en-US"/>
        </w:rPr>
        <w:t xml:space="preserve">K., </w:t>
      </w:r>
      <w:r w:rsidRPr="00172E83">
        <w:rPr>
          <w:rFonts w:asciiTheme="minorHAnsi" w:hAnsiTheme="minorHAnsi"/>
          <w:color w:val="000000" w:themeColor="text1"/>
          <w:sz w:val="22"/>
          <w:szCs w:val="22"/>
          <w:lang w:val="en-US"/>
        </w:rPr>
        <w:t xml:space="preserve">Laurens, </w:t>
      </w:r>
      <w:r w:rsidR="00C5352B" w:rsidRPr="00172E83">
        <w:rPr>
          <w:rFonts w:asciiTheme="minorHAnsi" w:hAnsiTheme="minorHAnsi"/>
          <w:color w:val="000000" w:themeColor="text1"/>
          <w:sz w:val="22"/>
          <w:szCs w:val="22"/>
          <w:lang w:val="en-US"/>
        </w:rPr>
        <w:t xml:space="preserve">B., </w:t>
      </w:r>
      <w:r w:rsidRPr="00172E83">
        <w:rPr>
          <w:rFonts w:asciiTheme="minorHAnsi" w:hAnsiTheme="minorHAnsi"/>
          <w:color w:val="000000" w:themeColor="text1"/>
          <w:sz w:val="22"/>
          <w:szCs w:val="22"/>
          <w:lang w:val="en-US"/>
        </w:rPr>
        <w:t>Otker-Robe,</w:t>
      </w:r>
      <w:r w:rsidR="00C5352B" w:rsidRPr="00172E83">
        <w:rPr>
          <w:rFonts w:asciiTheme="minorHAnsi" w:hAnsiTheme="minorHAnsi"/>
          <w:color w:val="000000" w:themeColor="text1"/>
          <w:sz w:val="22"/>
          <w:szCs w:val="22"/>
          <w:lang w:val="en-US"/>
        </w:rPr>
        <w:t xml:space="preserve"> I., </w:t>
      </w:r>
      <w:r w:rsidRPr="00172E83">
        <w:rPr>
          <w:rFonts w:asciiTheme="minorHAnsi" w:hAnsiTheme="minorHAnsi"/>
          <w:color w:val="000000" w:themeColor="text1"/>
          <w:sz w:val="22"/>
          <w:szCs w:val="22"/>
          <w:lang w:val="en-US"/>
        </w:rPr>
        <w:t xml:space="preserve">Canales-Kriljenko, </w:t>
      </w:r>
      <w:r w:rsidR="00C5352B" w:rsidRPr="00172E83">
        <w:rPr>
          <w:rFonts w:asciiTheme="minorHAnsi" w:hAnsiTheme="minorHAnsi"/>
          <w:color w:val="000000" w:themeColor="text1"/>
          <w:sz w:val="22"/>
          <w:szCs w:val="22"/>
          <w:lang w:val="en-US"/>
        </w:rPr>
        <w:t xml:space="preserve">J.I., </w:t>
      </w:r>
      <w:r w:rsidRPr="00172E83">
        <w:rPr>
          <w:rFonts w:asciiTheme="minorHAnsi" w:hAnsiTheme="minorHAnsi"/>
          <w:color w:val="000000" w:themeColor="text1"/>
          <w:sz w:val="22"/>
          <w:szCs w:val="22"/>
          <w:lang w:val="en-US"/>
        </w:rPr>
        <w:t>Kirilenko</w:t>
      </w:r>
      <w:r w:rsidR="00C5352B" w:rsidRPr="00172E83">
        <w:rPr>
          <w:rFonts w:asciiTheme="minorHAnsi" w:hAnsiTheme="minorHAnsi"/>
          <w:color w:val="000000" w:themeColor="text1"/>
          <w:sz w:val="22"/>
          <w:szCs w:val="22"/>
          <w:lang w:val="en-US"/>
        </w:rPr>
        <w:t>, A</w:t>
      </w:r>
      <w:r w:rsidRPr="00172E83">
        <w:rPr>
          <w:rFonts w:asciiTheme="minorHAnsi" w:hAnsiTheme="minorHAnsi"/>
          <w:color w:val="000000" w:themeColor="text1"/>
          <w:sz w:val="22"/>
          <w:szCs w:val="22"/>
          <w:lang w:val="en-US"/>
        </w:rPr>
        <w:t xml:space="preserve">. </w:t>
      </w:r>
      <w:r w:rsidR="00C5352B" w:rsidRPr="00172E83">
        <w:rPr>
          <w:rFonts w:asciiTheme="minorHAnsi" w:hAnsiTheme="minorHAnsi"/>
          <w:color w:val="000000" w:themeColor="text1"/>
          <w:sz w:val="22"/>
          <w:szCs w:val="22"/>
          <w:lang w:val="en-US"/>
        </w:rPr>
        <w:t>(</w:t>
      </w:r>
      <w:r w:rsidR="003372A1" w:rsidRPr="00172E83">
        <w:rPr>
          <w:rFonts w:asciiTheme="minorHAnsi" w:hAnsiTheme="minorHAnsi"/>
          <w:color w:val="000000" w:themeColor="text1"/>
          <w:sz w:val="22"/>
          <w:szCs w:val="22"/>
          <w:lang w:val="en-US"/>
        </w:rPr>
        <w:t>2000</w:t>
      </w:r>
      <w:r w:rsidR="00C5352B" w:rsidRPr="00172E83">
        <w:rPr>
          <w:rFonts w:asciiTheme="minorHAnsi" w:hAnsiTheme="minorHAnsi"/>
          <w:color w:val="000000" w:themeColor="text1"/>
          <w:sz w:val="22"/>
          <w:szCs w:val="22"/>
          <w:lang w:val="en-US"/>
        </w:rPr>
        <w:t>):</w:t>
      </w:r>
      <w:r w:rsidR="003372A1" w:rsidRPr="00172E83">
        <w:rPr>
          <w:rFonts w:asciiTheme="minorHAnsi" w:hAnsiTheme="minorHAnsi"/>
          <w:color w:val="000000" w:themeColor="text1"/>
          <w:sz w:val="22"/>
          <w:szCs w:val="22"/>
          <w:lang w:val="en-US"/>
        </w:rPr>
        <w:t xml:space="preserve"> Capital Controls. Country Experiences with Their Use and Liberalization</w:t>
      </w:r>
      <w:r w:rsidR="0032001B" w:rsidRPr="00172E83">
        <w:rPr>
          <w:rFonts w:asciiTheme="minorHAnsi" w:hAnsiTheme="minorHAnsi"/>
          <w:color w:val="000000" w:themeColor="text1"/>
          <w:sz w:val="22"/>
          <w:szCs w:val="22"/>
          <w:lang w:val="en-US"/>
        </w:rPr>
        <w:t>, IMF Occasional Papers</w:t>
      </w:r>
      <w:r w:rsidR="00C5352B" w:rsidRPr="00172E83">
        <w:rPr>
          <w:rFonts w:asciiTheme="minorHAnsi" w:hAnsiTheme="minorHAnsi"/>
          <w:color w:val="000000" w:themeColor="text1"/>
          <w:sz w:val="22"/>
          <w:szCs w:val="22"/>
          <w:lang w:val="en-US"/>
        </w:rPr>
        <w:t xml:space="preserve">, No. </w:t>
      </w:r>
      <w:r w:rsidR="003372A1" w:rsidRPr="00172E83">
        <w:rPr>
          <w:rFonts w:asciiTheme="minorHAnsi" w:hAnsiTheme="minorHAnsi"/>
          <w:color w:val="000000" w:themeColor="text1"/>
          <w:sz w:val="22"/>
          <w:szCs w:val="22"/>
          <w:lang w:val="en-US"/>
        </w:rPr>
        <w:t>190.</w:t>
      </w:r>
    </w:p>
    <w:p w14:paraId="6C7DF481" w14:textId="77777777" w:rsidR="003372A1" w:rsidRPr="00172E83" w:rsidRDefault="003372A1" w:rsidP="003372A1">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Baele, L</w:t>
      </w:r>
      <w:r w:rsidR="00C5352B" w:rsidRPr="00172E83">
        <w:rPr>
          <w:rFonts w:asciiTheme="minorHAnsi" w:hAnsiTheme="minorHAnsi"/>
          <w:color w:val="000000" w:themeColor="text1"/>
          <w:sz w:val="22"/>
          <w:szCs w:val="22"/>
          <w:lang w:val="en-US"/>
        </w:rPr>
        <w:t xml:space="preserve">., </w:t>
      </w:r>
      <w:r w:rsidRPr="00172E83">
        <w:rPr>
          <w:rFonts w:asciiTheme="minorHAnsi" w:hAnsiTheme="minorHAnsi"/>
          <w:color w:val="000000" w:themeColor="text1"/>
          <w:sz w:val="22"/>
          <w:szCs w:val="22"/>
          <w:lang w:val="en-US"/>
        </w:rPr>
        <w:t>Bekaert</w:t>
      </w:r>
      <w:r w:rsidR="00C5352B" w:rsidRPr="00172E83">
        <w:rPr>
          <w:rFonts w:asciiTheme="minorHAnsi" w:hAnsiTheme="minorHAnsi"/>
          <w:color w:val="000000" w:themeColor="text1"/>
          <w:sz w:val="22"/>
          <w:szCs w:val="22"/>
          <w:lang w:val="en-US"/>
        </w:rPr>
        <w:t>, G.,</w:t>
      </w:r>
      <w:r w:rsidRPr="00172E83">
        <w:rPr>
          <w:rFonts w:asciiTheme="minorHAnsi" w:hAnsiTheme="minorHAnsi"/>
          <w:color w:val="000000" w:themeColor="text1"/>
          <w:sz w:val="22"/>
          <w:szCs w:val="22"/>
          <w:lang w:val="en-US"/>
        </w:rPr>
        <w:t xml:space="preserve"> Cho</w:t>
      </w:r>
      <w:r w:rsidR="00C5352B" w:rsidRPr="00172E83">
        <w:rPr>
          <w:rFonts w:asciiTheme="minorHAnsi" w:hAnsiTheme="minorHAnsi"/>
          <w:color w:val="000000" w:themeColor="text1"/>
          <w:sz w:val="22"/>
          <w:szCs w:val="22"/>
          <w:lang w:val="en-US"/>
        </w:rPr>
        <w:t>, S.,</w:t>
      </w:r>
      <w:r w:rsidRPr="00172E83">
        <w:rPr>
          <w:rFonts w:asciiTheme="minorHAnsi" w:hAnsiTheme="minorHAnsi"/>
          <w:color w:val="000000" w:themeColor="text1"/>
          <w:sz w:val="22"/>
          <w:szCs w:val="22"/>
          <w:lang w:val="en-US"/>
        </w:rPr>
        <w:t xml:space="preserve"> Koen</w:t>
      </w:r>
      <w:r w:rsidR="00C5352B"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I</w:t>
      </w:r>
      <w:r w:rsidR="00C5352B" w:rsidRPr="00172E83">
        <w:rPr>
          <w:rFonts w:asciiTheme="minorHAnsi" w:hAnsiTheme="minorHAnsi"/>
          <w:color w:val="000000" w:themeColor="text1"/>
          <w:sz w:val="22"/>
          <w:szCs w:val="22"/>
          <w:lang w:val="en-US"/>
        </w:rPr>
        <w:t>.,</w:t>
      </w:r>
      <w:r w:rsidR="0032001B" w:rsidRPr="00172E83">
        <w:rPr>
          <w:rFonts w:asciiTheme="minorHAnsi" w:hAnsiTheme="minorHAnsi"/>
          <w:color w:val="000000" w:themeColor="text1"/>
          <w:sz w:val="22"/>
          <w:szCs w:val="22"/>
          <w:lang w:val="en-US"/>
        </w:rPr>
        <w:t xml:space="preserve"> </w:t>
      </w:r>
      <w:r w:rsidRPr="00172E83">
        <w:rPr>
          <w:rFonts w:asciiTheme="minorHAnsi" w:hAnsiTheme="minorHAnsi"/>
          <w:color w:val="000000" w:themeColor="text1"/>
          <w:sz w:val="22"/>
          <w:szCs w:val="22"/>
          <w:lang w:val="en-US"/>
        </w:rPr>
        <w:t>Moreno</w:t>
      </w:r>
      <w:r w:rsidR="00C5352B" w:rsidRPr="00172E83">
        <w:rPr>
          <w:rFonts w:asciiTheme="minorHAnsi" w:hAnsiTheme="minorHAnsi"/>
          <w:color w:val="000000" w:themeColor="text1"/>
          <w:sz w:val="22"/>
          <w:szCs w:val="22"/>
          <w:lang w:val="en-US"/>
        </w:rPr>
        <w:t>, A</w:t>
      </w:r>
      <w:r w:rsidRPr="00172E83">
        <w:rPr>
          <w:rFonts w:asciiTheme="minorHAnsi" w:hAnsiTheme="minorHAnsi"/>
          <w:color w:val="000000" w:themeColor="text1"/>
          <w:sz w:val="22"/>
          <w:szCs w:val="22"/>
          <w:lang w:val="en-US"/>
        </w:rPr>
        <w:t xml:space="preserve">. </w:t>
      </w:r>
      <w:r w:rsidR="00C5352B"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2011</w:t>
      </w:r>
      <w:r w:rsidR="00C5352B"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Macroeconomic Regimes, NBER Working Paper</w:t>
      </w:r>
      <w:r w:rsidR="00C5352B" w:rsidRPr="00172E83">
        <w:rPr>
          <w:rFonts w:asciiTheme="minorHAnsi" w:hAnsiTheme="minorHAnsi"/>
          <w:color w:val="000000" w:themeColor="text1"/>
          <w:sz w:val="22"/>
          <w:szCs w:val="22"/>
          <w:lang w:val="en-US"/>
        </w:rPr>
        <w:t>, No.</w:t>
      </w:r>
      <w:r w:rsidRPr="00172E83">
        <w:rPr>
          <w:rFonts w:asciiTheme="minorHAnsi" w:hAnsiTheme="minorHAnsi"/>
          <w:color w:val="000000" w:themeColor="text1"/>
          <w:sz w:val="22"/>
          <w:szCs w:val="22"/>
          <w:lang w:val="en-US"/>
        </w:rPr>
        <w:t xml:space="preserve"> 170</w:t>
      </w:r>
      <w:r w:rsidR="00C5352B" w:rsidRPr="00172E83">
        <w:rPr>
          <w:rFonts w:asciiTheme="minorHAnsi" w:hAnsiTheme="minorHAnsi"/>
          <w:color w:val="000000" w:themeColor="text1"/>
          <w:sz w:val="22"/>
          <w:szCs w:val="22"/>
          <w:lang w:val="en-US"/>
        </w:rPr>
        <w:t>.</w:t>
      </w:r>
    </w:p>
    <w:p w14:paraId="12F887C7" w14:textId="77777777" w:rsidR="00483EDD" w:rsidRPr="00172E83" w:rsidRDefault="00C5352B" w:rsidP="00483EDD">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 xml:space="preserve">Baumann, B., Gallagher, K.P. (2012): </w:t>
      </w:r>
      <w:r w:rsidR="00FC52A0" w:rsidRPr="00172E83">
        <w:rPr>
          <w:rFonts w:asciiTheme="minorHAnsi" w:hAnsiTheme="minorHAnsi"/>
          <w:color w:val="000000" w:themeColor="text1"/>
          <w:sz w:val="22"/>
          <w:szCs w:val="22"/>
          <w:lang w:val="en-US"/>
        </w:rPr>
        <w:t>Navigating Capital Flows in Brazil and Chile, Initiative for Policy Dialogue Working Paper Series, June.</w:t>
      </w:r>
    </w:p>
    <w:p w14:paraId="6692269E" w14:textId="307B834D" w:rsidR="006E0BD4" w:rsidRPr="00172E83" w:rsidRDefault="006E0BD4" w:rsidP="00311DC7">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BIS (2005): Foreign exchange market intervention in emerging markets: motives,techniques and implications, BIS Papers, No. 24, May.</w:t>
      </w:r>
    </w:p>
    <w:p w14:paraId="7A24568A" w14:textId="77777777" w:rsidR="00311DC7" w:rsidRPr="00172E83" w:rsidRDefault="00311DC7" w:rsidP="00311DC7">
      <w:pPr>
        <w:pStyle w:val="Padro"/>
        <w:spacing w:after="120"/>
        <w:jc w:val="both"/>
        <w:rPr>
          <w:rFonts w:asciiTheme="minorHAnsi" w:hAnsiTheme="minorHAnsi"/>
          <w:color w:val="000000" w:themeColor="text1"/>
          <w:sz w:val="22"/>
          <w:szCs w:val="22"/>
          <w:lang w:val="pt-BR"/>
        </w:rPr>
      </w:pPr>
      <w:r w:rsidRPr="00172E83">
        <w:rPr>
          <w:rFonts w:asciiTheme="minorHAnsi" w:hAnsiTheme="minorHAnsi"/>
          <w:color w:val="000000" w:themeColor="text1"/>
          <w:sz w:val="22"/>
          <w:szCs w:val="22"/>
          <w:lang w:val="en-US"/>
        </w:rPr>
        <w:t>Brazilian Central Bank</w:t>
      </w:r>
      <w:r w:rsidR="00475164" w:rsidRPr="00172E83">
        <w:rPr>
          <w:rFonts w:asciiTheme="minorHAnsi" w:hAnsiTheme="minorHAnsi"/>
          <w:color w:val="000000" w:themeColor="text1"/>
          <w:sz w:val="22"/>
          <w:szCs w:val="22"/>
          <w:lang w:val="en-US"/>
        </w:rPr>
        <w:t xml:space="preserve"> (various issues).</w:t>
      </w:r>
      <w:r w:rsidRPr="00172E83">
        <w:rPr>
          <w:rFonts w:asciiTheme="minorHAnsi" w:hAnsiTheme="minorHAnsi"/>
          <w:color w:val="000000" w:themeColor="text1"/>
          <w:sz w:val="22"/>
          <w:szCs w:val="22"/>
          <w:lang w:val="en-US"/>
        </w:rPr>
        <w:t xml:space="preserve"> </w:t>
      </w:r>
      <w:r w:rsidRPr="00172E83">
        <w:rPr>
          <w:rFonts w:asciiTheme="minorHAnsi" w:hAnsiTheme="minorHAnsi"/>
          <w:color w:val="000000" w:themeColor="text1"/>
          <w:sz w:val="22"/>
          <w:szCs w:val="22"/>
          <w:lang w:val="pt-BR"/>
        </w:rPr>
        <w:t>Boletim do Banco Central – Relatório anual.</w:t>
      </w:r>
    </w:p>
    <w:p w14:paraId="5F18F327" w14:textId="77777777" w:rsidR="003372A1" w:rsidRPr="00172E83" w:rsidRDefault="003372A1" w:rsidP="003372A1">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Burnside, C</w:t>
      </w:r>
      <w:r w:rsidR="008766E3"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Eichenbaum, </w:t>
      </w:r>
      <w:r w:rsidR="008766E3" w:rsidRPr="00172E83">
        <w:rPr>
          <w:rFonts w:asciiTheme="minorHAnsi" w:hAnsiTheme="minorHAnsi"/>
          <w:color w:val="000000" w:themeColor="text1"/>
          <w:sz w:val="22"/>
          <w:szCs w:val="22"/>
          <w:lang w:val="en-US"/>
        </w:rPr>
        <w:t xml:space="preserve">M., </w:t>
      </w:r>
      <w:r w:rsidRPr="00172E83">
        <w:rPr>
          <w:rFonts w:asciiTheme="minorHAnsi" w:hAnsiTheme="minorHAnsi"/>
          <w:color w:val="000000" w:themeColor="text1"/>
          <w:sz w:val="22"/>
          <w:szCs w:val="22"/>
          <w:lang w:val="en-US"/>
        </w:rPr>
        <w:t xml:space="preserve">Kleshchelski, </w:t>
      </w:r>
      <w:r w:rsidR="008766E3" w:rsidRPr="00172E83">
        <w:rPr>
          <w:rFonts w:asciiTheme="minorHAnsi" w:hAnsiTheme="minorHAnsi"/>
          <w:color w:val="000000" w:themeColor="text1"/>
          <w:sz w:val="22"/>
          <w:szCs w:val="22"/>
          <w:lang w:val="en-US"/>
        </w:rPr>
        <w:t xml:space="preserve">I., </w:t>
      </w:r>
      <w:r w:rsidRPr="00172E83">
        <w:rPr>
          <w:rFonts w:asciiTheme="minorHAnsi" w:hAnsiTheme="minorHAnsi"/>
          <w:color w:val="000000" w:themeColor="text1"/>
          <w:sz w:val="22"/>
          <w:szCs w:val="22"/>
          <w:lang w:val="en-US"/>
        </w:rPr>
        <w:t>Rebelo</w:t>
      </w:r>
      <w:r w:rsidR="008766E3" w:rsidRPr="00172E83">
        <w:rPr>
          <w:rFonts w:asciiTheme="minorHAnsi" w:hAnsiTheme="minorHAnsi"/>
          <w:color w:val="000000" w:themeColor="text1"/>
          <w:sz w:val="22"/>
          <w:szCs w:val="22"/>
          <w:lang w:val="en-US"/>
        </w:rPr>
        <w:t>, S. (</w:t>
      </w:r>
      <w:r w:rsidRPr="00172E83">
        <w:rPr>
          <w:rFonts w:asciiTheme="minorHAnsi" w:hAnsiTheme="minorHAnsi"/>
          <w:color w:val="000000" w:themeColor="text1"/>
          <w:sz w:val="22"/>
          <w:szCs w:val="22"/>
          <w:lang w:val="en-US"/>
        </w:rPr>
        <w:t>2006</w:t>
      </w:r>
      <w:r w:rsidR="008766E3"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The returns of currency speculation, National Bureau of Economic Research</w:t>
      </w:r>
      <w:r w:rsidR="008766E3"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Working Paper </w:t>
      </w:r>
      <w:r w:rsidR="008766E3" w:rsidRPr="00172E83">
        <w:rPr>
          <w:rFonts w:asciiTheme="minorHAnsi" w:hAnsiTheme="minorHAnsi"/>
          <w:color w:val="000000" w:themeColor="text1"/>
          <w:sz w:val="22"/>
          <w:szCs w:val="22"/>
          <w:lang w:val="en-US"/>
        </w:rPr>
        <w:t xml:space="preserve">No. </w:t>
      </w:r>
      <w:r w:rsidRPr="00172E83">
        <w:rPr>
          <w:rFonts w:asciiTheme="minorHAnsi" w:hAnsiTheme="minorHAnsi"/>
          <w:color w:val="000000" w:themeColor="text1"/>
          <w:sz w:val="22"/>
          <w:szCs w:val="22"/>
          <w:lang w:val="en-US"/>
        </w:rPr>
        <w:t>12489.</w:t>
      </w:r>
    </w:p>
    <w:p w14:paraId="5B35054B" w14:textId="77777777" w:rsidR="00C95119" w:rsidRPr="00172E83" w:rsidRDefault="00C95119" w:rsidP="00C95119">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Calvo, G</w:t>
      </w:r>
      <w:r w:rsidR="008766E3"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A., Leiderman, </w:t>
      </w:r>
      <w:r w:rsidR="008766E3" w:rsidRPr="00172E83">
        <w:rPr>
          <w:rFonts w:asciiTheme="minorHAnsi" w:hAnsiTheme="minorHAnsi"/>
          <w:color w:val="000000" w:themeColor="text1"/>
          <w:sz w:val="22"/>
          <w:szCs w:val="22"/>
          <w:lang w:val="en-US"/>
        </w:rPr>
        <w:t xml:space="preserve">L., </w:t>
      </w:r>
      <w:r w:rsidRPr="00172E83">
        <w:rPr>
          <w:rFonts w:asciiTheme="minorHAnsi" w:hAnsiTheme="minorHAnsi"/>
          <w:color w:val="000000" w:themeColor="text1"/>
          <w:sz w:val="22"/>
          <w:szCs w:val="22"/>
          <w:lang w:val="en-US"/>
        </w:rPr>
        <w:t xml:space="preserve">and Carmen M. Reinhart, </w:t>
      </w:r>
      <w:r w:rsidR="008766E3" w:rsidRPr="00172E83">
        <w:rPr>
          <w:rFonts w:asciiTheme="minorHAnsi" w:hAnsiTheme="minorHAnsi"/>
          <w:color w:val="000000" w:themeColor="text1"/>
          <w:sz w:val="22"/>
          <w:szCs w:val="22"/>
          <w:lang w:val="en-US"/>
        </w:rPr>
        <w:t>C.M. (</w:t>
      </w:r>
      <w:r w:rsidRPr="00172E83">
        <w:rPr>
          <w:rFonts w:asciiTheme="minorHAnsi" w:hAnsiTheme="minorHAnsi"/>
          <w:color w:val="000000" w:themeColor="text1"/>
          <w:sz w:val="22"/>
          <w:szCs w:val="22"/>
          <w:lang w:val="en-US"/>
        </w:rPr>
        <w:t>1993</w:t>
      </w:r>
      <w:r w:rsidR="008766E3"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w:t>
      </w:r>
      <w:hyperlink r:id="rId20" w:history="1">
        <w:r w:rsidRPr="00172E83">
          <w:rPr>
            <w:rFonts w:asciiTheme="minorHAnsi" w:hAnsiTheme="minorHAnsi"/>
            <w:color w:val="000000" w:themeColor="text1"/>
            <w:sz w:val="22"/>
            <w:szCs w:val="22"/>
            <w:lang w:val="en-US"/>
          </w:rPr>
          <w:t>Capital Inflows and Real Exchange Rate Appreciation in Latin America: The Role of External Factors</w:t>
        </w:r>
      </w:hyperlink>
      <w:r w:rsidRPr="00172E83">
        <w:rPr>
          <w:rFonts w:asciiTheme="minorHAnsi" w:hAnsiTheme="minorHAnsi"/>
          <w:color w:val="000000" w:themeColor="text1"/>
          <w:sz w:val="22"/>
          <w:szCs w:val="22"/>
          <w:lang w:val="en-US"/>
        </w:rPr>
        <w:t xml:space="preserve">, </w:t>
      </w:r>
      <w:r w:rsidR="008766E3" w:rsidRPr="00172E83">
        <w:rPr>
          <w:rFonts w:asciiTheme="minorHAnsi" w:hAnsiTheme="minorHAnsi"/>
          <w:color w:val="000000" w:themeColor="text1"/>
          <w:sz w:val="22"/>
          <w:szCs w:val="22"/>
          <w:lang w:val="en-US"/>
        </w:rPr>
        <w:t xml:space="preserve">in: </w:t>
      </w:r>
      <w:hyperlink r:id="rId21" w:history="1">
        <w:r w:rsidRPr="00172E83">
          <w:rPr>
            <w:rFonts w:asciiTheme="minorHAnsi" w:hAnsiTheme="minorHAnsi"/>
            <w:i/>
            <w:color w:val="000000" w:themeColor="text1"/>
            <w:sz w:val="22"/>
            <w:szCs w:val="22"/>
            <w:lang w:val="en-US"/>
          </w:rPr>
          <w:t>IMF Staff Papers</w:t>
        </w:r>
      </w:hyperlink>
      <w:r w:rsidRPr="00172E83">
        <w:rPr>
          <w:rFonts w:asciiTheme="minorHAnsi" w:hAnsiTheme="minorHAnsi"/>
          <w:color w:val="000000" w:themeColor="text1"/>
          <w:sz w:val="22"/>
          <w:szCs w:val="22"/>
          <w:lang w:val="en-US"/>
        </w:rPr>
        <w:t xml:space="preserve">, </w:t>
      </w:r>
      <w:r w:rsidR="008766E3" w:rsidRPr="00172E83">
        <w:rPr>
          <w:rFonts w:asciiTheme="minorHAnsi" w:hAnsiTheme="minorHAnsi"/>
          <w:color w:val="000000" w:themeColor="text1"/>
          <w:sz w:val="22"/>
          <w:szCs w:val="22"/>
          <w:lang w:val="en-US"/>
        </w:rPr>
        <w:t xml:space="preserve"> </w:t>
      </w:r>
      <w:r w:rsidRPr="00172E83">
        <w:rPr>
          <w:rFonts w:asciiTheme="minorHAnsi" w:hAnsiTheme="minorHAnsi"/>
          <w:color w:val="000000" w:themeColor="text1"/>
          <w:sz w:val="22"/>
          <w:szCs w:val="22"/>
          <w:lang w:val="en-US"/>
        </w:rPr>
        <w:t>40(1), 108-151</w:t>
      </w:r>
      <w:r w:rsidR="008766E3" w:rsidRPr="00172E83">
        <w:rPr>
          <w:rFonts w:asciiTheme="minorHAnsi" w:hAnsiTheme="minorHAnsi"/>
          <w:color w:val="000000" w:themeColor="text1"/>
          <w:sz w:val="22"/>
          <w:szCs w:val="22"/>
          <w:lang w:val="en-US"/>
        </w:rPr>
        <w:t>.</w:t>
      </w:r>
    </w:p>
    <w:p w14:paraId="1C18FE31" w14:textId="77777777" w:rsidR="00C95119" w:rsidRPr="00172E83" w:rsidRDefault="00C95119" w:rsidP="00C95119">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 xml:space="preserve">Cardoso, E., Goldfajn, I., </w:t>
      </w:r>
      <w:r w:rsidR="008766E3"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1997</w:t>
      </w:r>
      <w:r w:rsidR="008766E3"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Capital Flows to Brazil: The Endogeneity of Capital Controls, IMF Working Paper</w:t>
      </w:r>
      <w:r w:rsidR="008766E3" w:rsidRPr="00172E83">
        <w:rPr>
          <w:rFonts w:asciiTheme="minorHAnsi" w:hAnsiTheme="minorHAnsi"/>
          <w:color w:val="000000" w:themeColor="text1"/>
          <w:sz w:val="22"/>
          <w:szCs w:val="22"/>
          <w:lang w:val="en-US"/>
        </w:rPr>
        <w:t>, No.</w:t>
      </w:r>
      <w:r w:rsidRPr="00172E83">
        <w:rPr>
          <w:rFonts w:asciiTheme="minorHAnsi" w:hAnsiTheme="minorHAnsi"/>
          <w:color w:val="000000" w:themeColor="text1"/>
          <w:sz w:val="22"/>
          <w:szCs w:val="22"/>
          <w:lang w:val="en-US"/>
        </w:rPr>
        <w:t>97/115</w:t>
      </w:r>
      <w:r w:rsidR="008766E3" w:rsidRPr="00172E83">
        <w:rPr>
          <w:rFonts w:asciiTheme="minorHAnsi" w:hAnsiTheme="minorHAnsi"/>
          <w:color w:val="000000" w:themeColor="text1"/>
          <w:sz w:val="22"/>
          <w:szCs w:val="22"/>
          <w:lang w:val="en-US"/>
        </w:rPr>
        <w:t>.</w:t>
      </w:r>
    </w:p>
    <w:p w14:paraId="05DC5F84" w14:textId="77777777" w:rsidR="00C95119" w:rsidRPr="00172E83" w:rsidRDefault="00C95119" w:rsidP="003372A1">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Carvalho, B</w:t>
      </w:r>
      <w:r w:rsidR="008766E3"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S. de M.</w:t>
      </w:r>
      <w:r w:rsidR="008766E3" w:rsidRPr="00172E83">
        <w:rPr>
          <w:rFonts w:asciiTheme="minorHAnsi" w:hAnsiTheme="minorHAnsi"/>
          <w:color w:val="000000" w:themeColor="text1"/>
          <w:sz w:val="22"/>
          <w:szCs w:val="22"/>
          <w:lang w:val="en-US"/>
        </w:rPr>
        <w:t xml:space="preserve">, </w:t>
      </w:r>
      <w:r w:rsidRPr="00172E83">
        <w:rPr>
          <w:rFonts w:asciiTheme="minorHAnsi" w:hAnsiTheme="minorHAnsi"/>
          <w:color w:val="000000" w:themeColor="text1"/>
          <w:sz w:val="22"/>
          <w:szCs w:val="22"/>
          <w:lang w:val="en-US"/>
        </w:rPr>
        <w:t>Garcia, M</w:t>
      </w:r>
      <w:r w:rsidR="008766E3"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G.</w:t>
      </w:r>
      <w:r w:rsidR="008766E3" w:rsidRPr="00172E83">
        <w:rPr>
          <w:rFonts w:asciiTheme="minorHAnsi" w:hAnsiTheme="minorHAnsi"/>
          <w:color w:val="000000" w:themeColor="text1"/>
          <w:sz w:val="22"/>
          <w:szCs w:val="22"/>
          <w:lang w:val="en-US"/>
        </w:rPr>
        <w:t xml:space="preserve"> (</w:t>
      </w:r>
      <w:r w:rsidRPr="00172E83">
        <w:rPr>
          <w:rFonts w:asciiTheme="minorHAnsi" w:hAnsiTheme="minorHAnsi"/>
          <w:color w:val="000000" w:themeColor="text1"/>
          <w:sz w:val="22"/>
          <w:szCs w:val="22"/>
          <w:lang w:val="en-US"/>
        </w:rPr>
        <w:t>2006</w:t>
      </w:r>
      <w:r w:rsidR="008766E3"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Ineffective controls on capital inflows under sophisticated financial markets: Brazil in the nineties. NBER Working Paper</w:t>
      </w:r>
      <w:r w:rsidR="008766E3" w:rsidRPr="00172E83">
        <w:rPr>
          <w:rFonts w:asciiTheme="minorHAnsi" w:hAnsiTheme="minorHAnsi"/>
          <w:color w:val="000000" w:themeColor="text1"/>
          <w:sz w:val="22"/>
          <w:szCs w:val="22"/>
          <w:lang w:val="en-US"/>
        </w:rPr>
        <w:t>, No.</w:t>
      </w:r>
      <w:r w:rsidRPr="00172E83">
        <w:rPr>
          <w:rFonts w:asciiTheme="minorHAnsi" w:hAnsiTheme="minorHAnsi"/>
          <w:color w:val="000000" w:themeColor="text1"/>
          <w:sz w:val="22"/>
          <w:szCs w:val="22"/>
          <w:lang w:val="en-US"/>
        </w:rPr>
        <w:t xml:space="preserve"> 12283, </w:t>
      </w:r>
      <w:r w:rsidR="008766E3" w:rsidRPr="00172E83">
        <w:rPr>
          <w:rFonts w:asciiTheme="minorHAnsi" w:hAnsiTheme="minorHAnsi"/>
          <w:color w:val="000000" w:themeColor="text1"/>
          <w:sz w:val="22"/>
          <w:szCs w:val="22"/>
          <w:lang w:val="en-US"/>
        </w:rPr>
        <w:t>URL:</w:t>
      </w:r>
      <w:r w:rsidRPr="00172E83">
        <w:rPr>
          <w:rFonts w:asciiTheme="minorHAnsi" w:hAnsiTheme="minorHAnsi"/>
          <w:color w:val="000000" w:themeColor="text1"/>
          <w:sz w:val="22"/>
          <w:szCs w:val="22"/>
          <w:lang w:val="en-US"/>
        </w:rPr>
        <w:t xml:space="preserve"> http://www.nber.org/papers/w12283.</w:t>
      </w:r>
    </w:p>
    <w:p w14:paraId="724909E4" w14:textId="77777777" w:rsidR="00734BED" w:rsidRPr="00172E83" w:rsidRDefault="003372A1" w:rsidP="00734BED">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Chamon, M.</w:t>
      </w:r>
      <w:r w:rsidR="008766E3" w:rsidRPr="00172E83">
        <w:rPr>
          <w:rFonts w:asciiTheme="minorHAnsi" w:hAnsiTheme="minorHAnsi"/>
          <w:color w:val="000000" w:themeColor="text1"/>
          <w:sz w:val="22"/>
          <w:szCs w:val="22"/>
          <w:lang w:val="en-US"/>
        </w:rPr>
        <w:t xml:space="preserve">, </w:t>
      </w:r>
      <w:r w:rsidRPr="00172E83">
        <w:rPr>
          <w:rFonts w:asciiTheme="minorHAnsi" w:hAnsiTheme="minorHAnsi"/>
          <w:color w:val="000000" w:themeColor="text1"/>
          <w:sz w:val="22"/>
          <w:szCs w:val="22"/>
          <w:lang w:val="en-US"/>
        </w:rPr>
        <w:t>Garcia, M.</w:t>
      </w:r>
      <w:r w:rsidRPr="00172E83">
        <w:rPr>
          <w:rFonts w:asciiTheme="minorHAnsi" w:hAnsiTheme="minorHAnsi" w:cs="Times New Roman"/>
          <w:color w:val="000000" w:themeColor="text1"/>
          <w:sz w:val="22"/>
          <w:szCs w:val="22"/>
          <w:lang w:val="en-US" w:eastAsia="ar-SA"/>
        </w:rPr>
        <w:t xml:space="preserve"> </w:t>
      </w:r>
      <w:r w:rsidR="008766E3" w:rsidRPr="00172E83">
        <w:rPr>
          <w:rFonts w:asciiTheme="minorHAnsi" w:hAnsiTheme="minorHAnsi" w:cs="Times New Roman"/>
          <w:color w:val="000000" w:themeColor="text1"/>
          <w:sz w:val="22"/>
          <w:szCs w:val="22"/>
          <w:lang w:val="en-US" w:eastAsia="ar-SA"/>
        </w:rPr>
        <w:t>(</w:t>
      </w:r>
      <w:r w:rsidRPr="00172E83">
        <w:rPr>
          <w:rFonts w:asciiTheme="minorHAnsi" w:hAnsiTheme="minorHAnsi" w:cs="Times New Roman"/>
          <w:color w:val="000000" w:themeColor="text1"/>
          <w:sz w:val="22"/>
          <w:szCs w:val="22"/>
          <w:lang w:val="en-US" w:eastAsia="ar-SA"/>
        </w:rPr>
        <w:t>2013</w:t>
      </w:r>
      <w:r w:rsidR="008766E3" w:rsidRPr="00172E83">
        <w:rPr>
          <w:rFonts w:asciiTheme="minorHAnsi" w:hAnsiTheme="minorHAnsi" w:cs="Times New Roman"/>
          <w:color w:val="000000" w:themeColor="text1"/>
          <w:sz w:val="22"/>
          <w:szCs w:val="22"/>
          <w:lang w:val="en-US" w:eastAsia="ar-SA"/>
        </w:rPr>
        <w:t>):</w:t>
      </w:r>
      <w:r w:rsidRPr="00172E83">
        <w:rPr>
          <w:rFonts w:asciiTheme="minorHAnsi" w:hAnsiTheme="minorHAnsi" w:cs="Times New Roman"/>
          <w:color w:val="000000" w:themeColor="text1"/>
          <w:sz w:val="22"/>
          <w:szCs w:val="22"/>
          <w:lang w:val="en-US" w:eastAsia="ar-SA"/>
        </w:rPr>
        <w:t xml:space="preserve"> </w:t>
      </w:r>
      <w:r w:rsidRPr="00172E83">
        <w:rPr>
          <w:rFonts w:asciiTheme="minorHAnsi" w:hAnsiTheme="minorHAnsi"/>
          <w:color w:val="000000" w:themeColor="text1"/>
          <w:sz w:val="22"/>
          <w:szCs w:val="22"/>
          <w:lang w:val="en-US"/>
        </w:rPr>
        <w:t>Capital controls in Brazil: effective? PUC</w:t>
      </w:r>
      <w:r w:rsidR="0070050E" w:rsidRPr="00172E83">
        <w:rPr>
          <w:rFonts w:asciiTheme="minorHAnsi" w:hAnsiTheme="minorHAnsi"/>
          <w:color w:val="000000" w:themeColor="text1"/>
          <w:sz w:val="22"/>
          <w:szCs w:val="22"/>
          <w:lang w:val="en-US"/>
        </w:rPr>
        <w:t xml:space="preserve"> Rio de Janeiro</w:t>
      </w:r>
      <w:r w:rsidRPr="00172E83">
        <w:rPr>
          <w:rFonts w:asciiTheme="minorHAnsi" w:hAnsiTheme="minorHAnsi"/>
          <w:color w:val="000000" w:themeColor="text1"/>
          <w:sz w:val="22"/>
          <w:szCs w:val="22"/>
          <w:lang w:val="en-US"/>
        </w:rPr>
        <w:t xml:space="preserve">, </w:t>
      </w:r>
      <w:r w:rsidR="008766E3" w:rsidRPr="00172E83">
        <w:rPr>
          <w:rFonts w:asciiTheme="minorHAnsi" w:hAnsiTheme="minorHAnsi"/>
          <w:color w:val="000000" w:themeColor="text1"/>
          <w:sz w:val="22"/>
          <w:szCs w:val="22"/>
          <w:lang w:val="en-US"/>
        </w:rPr>
        <w:t>Discussion Paper</w:t>
      </w:r>
      <w:r w:rsidR="0070050E" w:rsidRPr="00172E83">
        <w:rPr>
          <w:rFonts w:asciiTheme="minorHAnsi" w:hAnsiTheme="minorHAnsi"/>
          <w:color w:val="000000" w:themeColor="text1"/>
          <w:sz w:val="22"/>
          <w:szCs w:val="22"/>
          <w:lang w:val="en-US"/>
        </w:rPr>
        <w:t xml:space="preserve">, No. </w:t>
      </w:r>
      <w:r w:rsidR="00745578" w:rsidRPr="00172E83">
        <w:rPr>
          <w:rFonts w:asciiTheme="minorHAnsi" w:hAnsiTheme="minorHAnsi"/>
          <w:color w:val="000000" w:themeColor="text1"/>
          <w:sz w:val="22"/>
          <w:szCs w:val="22"/>
          <w:lang w:val="en-US"/>
        </w:rPr>
        <w:t>606.</w:t>
      </w:r>
      <w:r w:rsidR="006C4891" w:rsidRPr="00172E83">
        <w:rPr>
          <w:rFonts w:asciiTheme="minorHAnsi" w:hAnsiTheme="minorHAnsi"/>
          <w:color w:val="000000" w:themeColor="text1"/>
          <w:sz w:val="22"/>
          <w:szCs w:val="22"/>
          <w:highlight w:val="yellow"/>
          <w:lang w:val="en-US"/>
        </w:rPr>
        <w:t xml:space="preserve"> </w:t>
      </w:r>
    </w:p>
    <w:p w14:paraId="770D5FD8" w14:textId="77777777" w:rsidR="00C06640" w:rsidRPr="00172E83" w:rsidRDefault="00C06640" w:rsidP="00C06640">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 xml:space="preserve">Dooley, M. (1996): A Survey of Literature on Controls over International Capital Transactions, in: </w:t>
      </w:r>
      <w:r w:rsidRPr="00172E83">
        <w:rPr>
          <w:rFonts w:asciiTheme="minorHAnsi" w:hAnsiTheme="minorHAnsi"/>
          <w:i/>
          <w:color w:val="000000" w:themeColor="text1"/>
          <w:sz w:val="22"/>
          <w:szCs w:val="22"/>
          <w:lang w:val="en-US"/>
        </w:rPr>
        <w:t>IMF Staff Papers</w:t>
      </w:r>
      <w:r w:rsidRPr="00172E83">
        <w:rPr>
          <w:rFonts w:asciiTheme="minorHAnsi" w:hAnsiTheme="minorHAnsi"/>
          <w:color w:val="000000" w:themeColor="text1"/>
          <w:sz w:val="22"/>
          <w:szCs w:val="22"/>
          <w:lang w:val="en-US"/>
        </w:rPr>
        <w:t>, 43, 4, 639-687</w:t>
      </w:r>
    </w:p>
    <w:p w14:paraId="5722D096" w14:textId="77777777" w:rsidR="003372A1" w:rsidRPr="00172E83" w:rsidRDefault="003372A1" w:rsidP="00734BED">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Eichengreen, B.</w:t>
      </w:r>
      <w:r w:rsidR="008766E3" w:rsidRPr="00172E83">
        <w:rPr>
          <w:rFonts w:asciiTheme="minorHAnsi" w:hAnsiTheme="minorHAnsi"/>
          <w:color w:val="000000" w:themeColor="text1"/>
          <w:sz w:val="22"/>
          <w:szCs w:val="22"/>
          <w:lang w:val="en-US"/>
        </w:rPr>
        <w:t xml:space="preserve">, </w:t>
      </w:r>
      <w:r w:rsidRPr="00172E83">
        <w:rPr>
          <w:rFonts w:asciiTheme="minorHAnsi" w:hAnsiTheme="minorHAnsi"/>
          <w:color w:val="000000" w:themeColor="text1"/>
          <w:sz w:val="22"/>
          <w:szCs w:val="22"/>
          <w:lang w:val="en-US"/>
        </w:rPr>
        <w:t>Hausmann, R. (eds</w:t>
      </w:r>
      <w:r w:rsidR="008766E3" w:rsidRPr="00172E83">
        <w:rPr>
          <w:rFonts w:asciiTheme="minorHAnsi" w:hAnsiTheme="minorHAnsi"/>
          <w:color w:val="000000" w:themeColor="text1"/>
          <w:sz w:val="22"/>
          <w:szCs w:val="22"/>
          <w:lang w:val="en-US"/>
        </w:rPr>
        <w:t>, 2005</w:t>
      </w:r>
      <w:r w:rsidRPr="00172E83">
        <w:rPr>
          <w:rFonts w:asciiTheme="minorHAnsi" w:hAnsiTheme="minorHAnsi"/>
          <w:color w:val="000000" w:themeColor="text1"/>
          <w:sz w:val="22"/>
          <w:szCs w:val="22"/>
          <w:lang w:val="en-US"/>
        </w:rPr>
        <w:t>)</w:t>
      </w:r>
      <w:r w:rsidR="008766E3" w:rsidRPr="00172E83">
        <w:rPr>
          <w:rFonts w:asciiTheme="minorHAnsi" w:hAnsiTheme="minorHAnsi"/>
          <w:color w:val="000000" w:themeColor="text1"/>
          <w:sz w:val="22"/>
          <w:szCs w:val="22"/>
          <w:lang w:val="en-US"/>
        </w:rPr>
        <w:t xml:space="preserve">: </w:t>
      </w:r>
      <w:r w:rsidRPr="00172E83">
        <w:rPr>
          <w:rFonts w:asciiTheme="minorHAnsi" w:hAnsiTheme="minorHAnsi"/>
          <w:i/>
          <w:color w:val="000000" w:themeColor="text1"/>
          <w:sz w:val="22"/>
          <w:szCs w:val="22"/>
          <w:lang w:val="en-US"/>
        </w:rPr>
        <w:t>Other People’s Money – Debt Denomination and Financial Instability in Emerging Market Economies</w:t>
      </w:r>
      <w:r w:rsidRPr="00172E83">
        <w:rPr>
          <w:rFonts w:asciiTheme="minorHAnsi" w:hAnsiTheme="minorHAnsi"/>
          <w:color w:val="000000" w:themeColor="text1"/>
          <w:sz w:val="22"/>
          <w:szCs w:val="22"/>
          <w:lang w:val="en-US"/>
        </w:rPr>
        <w:t xml:space="preserve">, </w:t>
      </w:r>
      <w:r w:rsidR="008766E3" w:rsidRPr="00172E83">
        <w:rPr>
          <w:rFonts w:asciiTheme="minorHAnsi" w:hAnsiTheme="minorHAnsi"/>
          <w:color w:val="000000" w:themeColor="text1"/>
          <w:sz w:val="22"/>
          <w:szCs w:val="22"/>
          <w:lang w:val="en-US"/>
        </w:rPr>
        <w:t xml:space="preserve">Chicago: </w:t>
      </w:r>
      <w:r w:rsidRPr="00172E83">
        <w:rPr>
          <w:rFonts w:asciiTheme="minorHAnsi" w:hAnsiTheme="minorHAnsi"/>
          <w:color w:val="000000" w:themeColor="text1"/>
          <w:sz w:val="22"/>
          <w:szCs w:val="22"/>
          <w:lang w:val="en-US"/>
        </w:rPr>
        <w:t>University of Chicago Press.</w:t>
      </w:r>
    </w:p>
    <w:p w14:paraId="6DA8F2B7" w14:textId="77777777" w:rsidR="003372A1" w:rsidRPr="00172E83" w:rsidRDefault="00045E33" w:rsidP="003372A1">
      <w:pPr>
        <w:pStyle w:val="BIBLIOG"/>
        <w:spacing w:line="276" w:lineRule="auto"/>
        <w:ind w:left="0" w:right="0" w:firstLine="0"/>
        <w:rPr>
          <w:rFonts w:asciiTheme="minorHAnsi" w:hAnsiTheme="minorHAnsi"/>
          <w:color w:val="000000" w:themeColor="text1"/>
          <w:sz w:val="22"/>
          <w:szCs w:val="22"/>
        </w:rPr>
      </w:pPr>
      <w:r w:rsidRPr="00172E83">
        <w:rPr>
          <w:rFonts w:asciiTheme="minorHAnsi" w:hAnsiTheme="minorHAnsi"/>
          <w:color w:val="000000" w:themeColor="text1"/>
          <w:sz w:val="22"/>
          <w:szCs w:val="22"/>
        </w:rPr>
        <w:t xml:space="preserve">Farhi, M. </w:t>
      </w:r>
      <w:r w:rsidR="008766E3" w:rsidRPr="00172E83">
        <w:rPr>
          <w:rFonts w:asciiTheme="minorHAnsi" w:hAnsiTheme="minorHAnsi"/>
          <w:color w:val="000000" w:themeColor="text1"/>
          <w:sz w:val="22"/>
          <w:szCs w:val="22"/>
        </w:rPr>
        <w:t>(</w:t>
      </w:r>
      <w:r w:rsidRPr="00172E83">
        <w:rPr>
          <w:rFonts w:asciiTheme="minorHAnsi" w:hAnsiTheme="minorHAnsi"/>
          <w:color w:val="000000" w:themeColor="text1"/>
          <w:sz w:val="22"/>
          <w:szCs w:val="22"/>
        </w:rPr>
        <w:t>2010</w:t>
      </w:r>
      <w:r w:rsidR="008766E3" w:rsidRPr="00172E83">
        <w:rPr>
          <w:rFonts w:asciiTheme="minorHAnsi" w:hAnsiTheme="minorHAnsi"/>
          <w:color w:val="000000" w:themeColor="text1"/>
          <w:sz w:val="22"/>
          <w:szCs w:val="22"/>
        </w:rPr>
        <w:t>):</w:t>
      </w:r>
      <w:r w:rsidRPr="00172E83">
        <w:rPr>
          <w:rFonts w:asciiTheme="minorHAnsi" w:hAnsiTheme="minorHAnsi"/>
          <w:color w:val="000000" w:themeColor="text1"/>
          <w:sz w:val="22"/>
          <w:szCs w:val="22"/>
        </w:rPr>
        <w:t xml:space="preserve"> (Os) impactos dos derivativos no Brasil, in: Marcolino, L</w:t>
      </w:r>
      <w:r w:rsidR="008766E3" w:rsidRPr="00172E83">
        <w:rPr>
          <w:rFonts w:asciiTheme="minorHAnsi" w:hAnsiTheme="minorHAnsi"/>
          <w:color w:val="000000" w:themeColor="text1"/>
          <w:sz w:val="22"/>
          <w:szCs w:val="22"/>
        </w:rPr>
        <w:t xml:space="preserve">. </w:t>
      </w:r>
      <w:r w:rsidRPr="00172E83">
        <w:rPr>
          <w:rFonts w:asciiTheme="minorHAnsi" w:hAnsiTheme="minorHAnsi"/>
          <w:color w:val="000000" w:themeColor="text1"/>
          <w:sz w:val="22"/>
          <w:szCs w:val="22"/>
        </w:rPr>
        <w:t>C</w:t>
      </w:r>
      <w:r w:rsidR="008766E3" w:rsidRPr="00172E83">
        <w:rPr>
          <w:rFonts w:asciiTheme="minorHAnsi" w:hAnsiTheme="minorHAnsi"/>
          <w:color w:val="000000" w:themeColor="text1"/>
          <w:sz w:val="22"/>
          <w:szCs w:val="22"/>
        </w:rPr>
        <w:t xml:space="preserve">., </w:t>
      </w:r>
      <w:r w:rsidRPr="00172E83">
        <w:rPr>
          <w:rFonts w:asciiTheme="minorHAnsi" w:hAnsiTheme="minorHAnsi"/>
          <w:color w:val="000000" w:themeColor="text1"/>
          <w:sz w:val="22"/>
          <w:szCs w:val="22"/>
        </w:rPr>
        <w:t xml:space="preserve"> Carneiro</w:t>
      </w:r>
      <w:r w:rsidR="008766E3" w:rsidRPr="00172E83">
        <w:rPr>
          <w:rFonts w:asciiTheme="minorHAnsi" w:hAnsiTheme="minorHAnsi"/>
          <w:color w:val="000000" w:themeColor="text1"/>
          <w:sz w:val="22"/>
          <w:szCs w:val="22"/>
        </w:rPr>
        <w:t>, R., (</w:t>
      </w:r>
      <w:r w:rsidRPr="00172E83">
        <w:rPr>
          <w:rFonts w:asciiTheme="minorHAnsi" w:hAnsiTheme="minorHAnsi"/>
          <w:color w:val="000000" w:themeColor="text1"/>
          <w:sz w:val="22"/>
          <w:szCs w:val="22"/>
        </w:rPr>
        <w:t>eds</w:t>
      </w:r>
      <w:r w:rsidR="008766E3" w:rsidRPr="00172E83">
        <w:rPr>
          <w:rFonts w:asciiTheme="minorHAnsi" w:hAnsiTheme="minorHAnsi"/>
          <w:color w:val="000000" w:themeColor="text1"/>
          <w:sz w:val="22"/>
          <w:szCs w:val="22"/>
        </w:rPr>
        <w:t>),</w:t>
      </w:r>
      <w:r w:rsidR="006C4891" w:rsidRPr="00172E83">
        <w:rPr>
          <w:rFonts w:asciiTheme="minorHAnsi" w:hAnsiTheme="minorHAnsi"/>
          <w:color w:val="000000" w:themeColor="text1"/>
          <w:sz w:val="22"/>
          <w:szCs w:val="22"/>
        </w:rPr>
        <w:t xml:space="preserve"> </w:t>
      </w:r>
      <w:r w:rsidR="003372A1" w:rsidRPr="00172E83">
        <w:rPr>
          <w:rFonts w:asciiTheme="minorHAnsi" w:hAnsiTheme="minorHAnsi"/>
          <w:i/>
          <w:color w:val="000000" w:themeColor="text1"/>
          <w:sz w:val="22"/>
          <w:szCs w:val="22"/>
        </w:rPr>
        <w:t>Sistema financeiro e desenvolvimento no Brasil</w:t>
      </w:r>
      <w:r w:rsidR="003372A1" w:rsidRPr="00172E83">
        <w:rPr>
          <w:rFonts w:asciiTheme="minorHAnsi" w:hAnsiTheme="minorHAnsi"/>
          <w:color w:val="000000" w:themeColor="text1"/>
          <w:sz w:val="22"/>
          <w:szCs w:val="22"/>
        </w:rPr>
        <w:t>, São Paulo: Atitude</w:t>
      </w:r>
      <w:r w:rsidR="0070050E" w:rsidRPr="00172E83">
        <w:rPr>
          <w:rFonts w:asciiTheme="minorHAnsi" w:hAnsiTheme="minorHAnsi"/>
          <w:color w:val="000000" w:themeColor="text1"/>
          <w:sz w:val="22"/>
          <w:szCs w:val="22"/>
        </w:rPr>
        <w:t>, S</w:t>
      </w:r>
      <w:r w:rsidR="006C4891" w:rsidRPr="00172E83">
        <w:rPr>
          <w:rFonts w:asciiTheme="minorHAnsi" w:hAnsiTheme="minorHAnsi"/>
          <w:color w:val="000000" w:themeColor="text1"/>
          <w:sz w:val="22"/>
          <w:szCs w:val="22"/>
        </w:rPr>
        <w:t>p</w:t>
      </w:r>
      <w:r w:rsidR="000906EA" w:rsidRPr="00172E83">
        <w:rPr>
          <w:rFonts w:asciiTheme="minorHAnsi" w:hAnsiTheme="minorHAnsi"/>
          <w:color w:val="000000" w:themeColor="text1"/>
          <w:sz w:val="22"/>
          <w:szCs w:val="22"/>
        </w:rPr>
        <w:t>, 209-232</w:t>
      </w:r>
    </w:p>
    <w:p w14:paraId="057449B9" w14:textId="77777777" w:rsidR="00C06640" w:rsidRPr="00172E83" w:rsidRDefault="00C06640" w:rsidP="003372A1">
      <w:pPr>
        <w:pStyle w:val="BIBLIOG"/>
        <w:spacing w:line="276" w:lineRule="auto"/>
        <w:ind w:left="0" w:right="0" w:firstLine="0"/>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 xml:space="preserve">Fettig, D. (1996): Interview with James Tobin. Federal Reserve Bank of Minneapolis, in: </w:t>
      </w:r>
      <w:r w:rsidRPr="00172E83">
        <w:rPr>
          <w:rFonts w:asciiTheme="minorHAnsi" w:hAnsiTheme="minorHAnsi"/>
          <w:i/>
          <w:color w:val="000000" w:themeColor="text1"/>
          <w:sz w:val="22"/>
          <w:szCs w:val="22"/>
          <w:lang w:val="en-US"/>
        </w:rPr>
        <w:t>The Region</w:t>
      </w:r>
      <w:r w:rsidRPr="00172E83">
        <w:rPr>
          <w:rFonts w:asciiTheme="minorHAnsi" w:hAnsiTheme="minorHAnsi"/>
          <w:color w:val="000000" w:themeColor="text1"/>
          <w:sz w:val="22"/>
          <w:szCs w:val="22"/>
          <w:lang w:val="en-US"/>
        </w:rPr>
        <w:t xml:space="preserve">, December 1, 1996, at: </w:t>
      </w:r>
      <w:hyperlink r:id="rId22" w:history="1">
        <w:r w:rsidRPr="00172E83">
          <w:rPr>
            <w:rFonts w:asciiTheme="minorHAnsi" w:hAnsiTheme="minorHAnsi"/>
            <w:color w:val="000000" w:themeColor="text1"/>
            <w:sz w:val="22"/>
            <w:szCs w:val="22"/>
            <w:lang w:val="en-US"/>
          </w:rPr>
          <w:t>http://bit.ly/VpqsgL</w:t>
        </w:r>
      </w:hyperlink>
      <w:r w:rsidRPr="00172E83">
        <w:rPr>
          <w:rFonts w:asciiTheme="minorHAnsi" w:hAnsiTheme="minorHAnsi"/>
          <w:color w:val="000000" w:themeColor="text1"/>
          <w:sz w:val="22"/>
          <w:szCs w:val="22"/>
          <w:lang w:val="en-US"/>
        </w:rPr>
        <w:t xml:space="preserve">  </w:t>
      </w:r>
    </w:p>
    <w:p w14:paraId="593CFFC5" w14:textId="77777777" w:rsidR="00FC7237" w:rsidRPr="00172E83" w:rsidRDefault="00FC7237" w:rsidP="003372A1">
      <w:pPr>
        <w:pStyle w:val="BIBLIOG"/>
        <w:spacing w:line="276" w:lineRule="auto"/>
        <w:ind w:left="0" w:right="0" w:firstLine="0"/>
        <w:rPr>
          <w:rFonts w:asciiTheme="minorHAnsi" w:hAnsiTheme="minorHAnsi"/>
          <w:color w:val="000000" w:themeColor="text1"/>
          <w:sz w:val="22"/>
          <w:szCs w:val="22"/>
        </w:rPr>
      </w:pPr>
      <w:r w:rsidRPr="00172E83">
        <w:rPr>
          <w:rFonts w:asciiTheme="minorHAnsi" w:hAnsiTheme="minorHAnsi"/>
          <w:color w:val="000000" w:themeColor="text1"/>
          <w:sz w:val="22"/>
          <w:szCs w:val="22"/>
        </w:rPr>
        <w:t>Franco, G</w:t>
      </w:r>
      <w:r w:rsidR="0070050E" w:rsidRPr="00172E83">
        <w:rPr>
          <w:rFonts w:asciiTheme="minorHAnsi" w:hAnsiTheme="minorHAnsi"/>
          <w:color w:val="000000" w:themeColor="text1"/>
          <w:sz w:val="22"/>
          <w:szCs w:val="22"/>
        </w:rPr>
        <w:t xml:space="preserve">., </w:t>
      </w:r>
      <w:r w:rsidRPr="00172E83">
        <w:rPr>
          <w:rFonts w:asciiTheme="minorHAnsi" w:hAnsiTheme="minorHAnsi"/>
          <w:color w:val="000000" w:themeColor="text1"/>
          <w:sz w:val="22"/>
          <w:szCs w:val="22"/>
        </w:rPr>
        <w:t>Pinho, D</w:t>
      </w:r>
      <w:r w:rsidR="0070050E" w:rsidRPr="00172E83">
        <w:rPr>
          <w:rFonts w:asciiTheme="minorHAnsi" w:hAnsiTheme="minorHAnsi"/>
          <w:color w:val="000000" w:themeColor="text1"/>
          <w:sz w:val="22"/>
          <w:szCs w:val="22"/>
        </w:rPr>
        <w:t>.</w:t>
      </w:r>
      <w:r w:rsidRPr="00172E83">
        <w:rPr>
          <w:rFonts w:asciiTheme="minorHAnsi" w:hAnsiTheme="minorHAnsi"/>
          <w:color w:val="000000" w:themeColor="text1"/>
          <w:sz w:val="22"/>
          <w:szCs w:val="22"/>
        </w:rPr>
        <w:t xml:space="preserve"> (2004): A desregulamentação da conta de capitais – limitações macroeconômicas e regulatórias, PUC Rio de Janeiro, </w:t>
      </w:r>
      <w:r w:rsidR="0070050E" w:rsidRPr="00172E83">
        <w:rPr>
          <w:rFonts w:asciiTheme="minorHAnsi" w:hAnsiTheme="minorHAnsi"/>
          <w:color w:val="000000" w:themeColor="text1"/>
          <w:sz w:val="22"/>
          <w:szCs w:val="22"/>
        </w:rPr>
        <w:t xml:space="preserve">Discussion Paper, No. 479. </w:t>
      </w:r>
    </w:p>
    <w:p w14:paraId="142CFFF0" w14:textId="77777777" w:rsidR="00A73D62" w:rsidRPr="00172E83" w:rsidRDefault="00A73D62" w:rsidP="003372A1">
      <w:pPr>
        <w:pStyle w:val="BIBLIOG"/>
        <w:spacing w:line="276" w:lineRule="auto"/>
        <w:ind w:left="0" w:right="0" w:firstLine="0"/>
        <w:rPr>
          <w:rFonts w:asciiTheme="minorHAnsi" w:hAnsiTheme="minorHAnsi"/>
          <w:color w:val="000000" w:themeColor="text1"/>
          <w:spacing w:val="-6"/>
          <w:sz w:val="22"/>
          <w:szCs w:val="22"/>
        </w:rPr>
      </w:pPr>
      <w:r w:rsidRPr="00172E83">
        <w:rPr>
          <w:rFonts w:asciiTheme="minorHAnsi" w:hAnsiTheme="minorHAnsi"/>
          <w:color w:val="000000" w:themeColor="text1"/>
          <w:spacing w:val="-6"/>
          <w:sz w:val="22"/>
          <w:szCs w:val="22"/>
        </w:rPr>
        <w:t xml:space="preserve">Franco, </w:t>
      </w:r>
      <w:r w:rsidR="0070050E" w:rsidRPr="00172E83">
        <w:rPr>
          <w:rFonts w:asciiTheme="minorHAnsi" w:hAnsiTheme="minorHAnsi"/>
          <w:color w:val="000000" w:themeColor="text1"/>
          <w:spacing w:val="-6"/>
          <w:sz w:val="22"/>
          <w:szCs w:val="22"/>
        </w:rPr>
        <w:t xml:space="preserve"> </w:t>
      </w:r>
      <w:r w:rsidRPr="00172E83">
        <w:rPr>
          <w:rFonts w:asciiTheme="minorHAnsi" w:hAnsiTheme="minorHAnsi"/>
          <w:color w:val="000000" w:themeColor="text1"/>
          <w:spacing w:val="-6"/>
          <w:sz w:val="22"/>
          <w:szCs w:val="22"/>
        </w:rPr>
        <w:t>G</w:t>
      </w:r>
      <w:r w:rsidR="0070050E" w:rsidRPr="00172E83">
        <w:rPr>
          <w:rFonts w:asciiTheme="minorHAnsi" w:hAnsiTheme="minorHAnsi"/>
          <w:color w:val="000000" w:themeColor="text1"/>
          <w:spacing w:val="-6"/>
          <w:sz w:val="22"/>
          <w:szCs w:val="22"/>
        </w:rPr>
        <w:t>.(</w:t>
      </w:r>
      <w:r w:rsidRPr="00172E83">
        <w:rPr>
          <w:rFonts w:asciiTheme="minorHAnsi" w:hAnsiTheme="minorHAnsi"/>
          <w:color w:val="000000" w:themeColor="text1"/>
          <w:spacing w:val="-6"/>
          <w:sz w:val="22"/>
          <w:szCs w:val="22"/>
        </w:rPr>
        <w:t xml:space="preserve"> 1995</w:t>
      </w:r>
      <w:r w:rsidR="0070050E" w:rsidRPr="00172E83">
        <w:rPr>
          <w:rFonts w:asciiTheme="minorHAnsi" w:hAnsiTheme="minorHAnsi"/>
          <w:color w:val="000000" w:themeColor="text1"/>
          <w:spacing w:val="-6"/>
          <w:sz w:val="22"/>
          <w:szCs w:val="22"/>
        </w:rPr>
        <w:t>):</w:t>
      </w:r>
      <w:r w:rsidRPr="00172E83">
        <w:rPr>
          <w:rFonts w:asciiTheme="minorHAnsi" w:hAnsiTheme="minorHAnsi"/>
          <w:color w:val="000000" w:themeColor="text1"/>
          <w:spacing w:val="-6"/>
          <w:sz w:val="22"/>
          <w:szCs w:val="22"/>
        </w:rPr>
        <w:t xml:space="preserve"> </w:t>
      </w:r>
      <w:r w:rsidRPr="00172E83">
        <w:rPr>
          <w:rFonts w:asciiTheme="minorHAnsi" w:hAnsiTheme="minorHAnsi"/>
          <w:i/>
          <w:color w:val="000000" w:themeColor="text1"/>
          <w:spacing w:val="-6"/>
          <w:sz w:val="22"/>
          <w:szCs w:val="22"/>
        </w:rPr>
        <w:t>O Plano Real e outros ensaios</w:t>
      </w:r>
      <w:r w:rsidR="0070050E" w:rsidRPr="00172E83">
        <w:rPr>
          <w:rFonts w:asciiTheme="minorHAnsi" w:hAnsiTheme="minorHAnsi"/>
          <w:color w:val="000000" w:themeColor="text1"/>
          <w:spacing w:val="-6"/>
          <w:sz w:val="22"/>
          <w:szCs w:val="22"/>
        </w:rPr>
        <w:t xml:space="preserve">, </w:t>
      </w:r>
      <w:r w:rsidRPr="00172E83">
        <w:rPr>
          <w:rFonts w:asciiTheme="minorHAnsi" w:hAnsiTheme="minorHAnsi"/>
          <w:color w:val="000000" w:themeColor="text1"/>
          <w:spacing w:val="-6"/>
          <w:sz w:val="22"/>
          <w:szCs w:val="22"/>
        </w:rPr>
        <w:t>Rio de Janeiro: Francisco Alves</w:t>
      </w:r>
    </w:p>
    <w:p w14:paraId="1D6345B9" w14:textId="77777777" w:rsidR="003372A1" w:rsidRPr="00172E83" w:rsidRDefault="003372A1" w:rsidP="003372A1">
      <w:pPr>
        <w:pStyle w:val="BIBLIOG"/>
        <w:spacing w:line="276" w:lineRule="auto"/>
        <w:ind w:left="0" w:right="0" w:firstLine="0"/>
        <w:rPr>
          <w:rFonts w:asciiTheme="minorHAnsi" w:hAnsiTheme="minorHAnsi"/>
          <w:color w:val="000000" w:themeColor="text1"/>
          <w:sz w:val="22"/>
          <w:szCs w:val="22"/>
          <w:lang w:val="en-US"/>
        </w:rPr>
      </w:pPr>
      <w:r w:rsidRPr="00172E83">
        <w:rPr>
          <w:rFonts w:asciiTheme="minorHAnsi" w:hAnsiTheme="minorHAnsi"/>
          <w:color w:val="000000" w:themeColor="text1"/>
          <w:spacing w:val="-6"/>
          <w:sz w:val="22"/>
          <w:szCs w:val="22"/>
          <w:lang w:val="en-US"/>
        </w:rPr>
        <w:t xml:space="preserve">Fritz, B., Prates, D. M. </w:t>
      </w:r>
      <w:r w:rsidR="0070050E" w:rsidRPr="00172E83">
        <w:rPr>
          <w:rFonts w:asciiTheme="minorHAnsi" w:hAnsiTheme="minorHAnsi"/>
          <w:color w:val="000000" w:themeColor="text1"/>
          <w:spacing w:val="-6"/>
          <w:sz w:val="22"/>
          <w:szCs w:val="22"/>
          <w:lang w:val="en-US"/>
        </w:rPr>
        <w:t>(</w:t>
      </w:r>
      <w:r w:rsidRPr="00172E83">
        <w:rPr>
          <w:rFonts w:asciiTheme="minorHAnsi" w:hAnsiTheme="minorHAnsi"/>
          <w:color w:val="000000" w:themeColor="text1"/>
          <w:spacing w:val="-6"/>
          <w:sz w:val="22"/>
          <w:szCs w:val="22"/>
          <w:lang w:val="en-US"/>
        </w:rPr>
        <w:t>201</w:t>
      </w:r>
      <w:r w:rsidR="00475164" w:rsidRPr="00172E83">
        <w:rPr>
          <w:rFonts w:asciiTheme="minorHAnsi" w:hAnsiTheme="minorHAnsi"/>
          <w:color w:val="000000" w:themeColor="text1"/>
          <w:spacing w:val="-6"/>
          <w:sz w:val="22"/>
          <w:szCs w:val="22"/>
          <w:lang w:val="en-US"/>
        </w:rPr>
        <w:t>4</w:t>
      </w:r>
      <w:r w:rsidR="0070050E" w:rsidRPr="00172E83">
        <w:rPr>
          <w:rFonts w:asciiTheme="minorHAnsi" w:hAnsiTheme="minorHAnsi"/>
          <w:color w:val="000000" w:themeColor="text1"/>
          <w:spacing w:val="-6"/>
          <w:sz w:val="22"/>
          <w:szCs w:val="22"/>
          <w:lang w:val="en-US"/>
        </w:rPr>
        <w:t>):</w:t>
      </w:r>
      <w:r w:rsidRPr="00172E83">
        <w:rPr>
          <w:rFonts w:asciiTheme="minorHAnsi" w:hAnsiTheme="minorHAnsi"/>
          <w:color w:val="000000" w:themeColor="text1"/>
          <w:spacing w:val="-6"/>
          <w:sz w:val="22"/>
          <w:szCs w:val="22"/>
          <w:lang w:val="en-US"/>
        </w:rPr>
        <w:t xml:space="preserve"> The new IMF approach to capital account management and its blind spots: lessons from Brazil and South Korea</w:t>
      </w:r>
      <w:r w:rsidR="004D696B" w:rsidRPr="00172E83">
        <w:rPr>
          <w:rFonts w:asciiTheme="minorHAnsi" w:hAnsiTheme="minorHAnsi"/>
          <w:color w:val="000000" w:themeColor="text1"/>
          <w:spacing w:val="-6"/>
          <w:sz w:val="22"/>
          <w:szCs w:val="22"/>
          <w:lang w:val="en-US"/>
        </w:rPr>
        <w:t>,</w:t>
      </w:r>
      <w:r w:rsidR="00F75B3A" w:rsidRPr="00172E83">
        <w:rPr>
          <w:rFonts w:asciiTheme="minorHAnsi" w:hAnsiTheme="minorHAnsi"/>
          <w:color w:val="000000" w:themeColor="text1"/>
          <w:spacing w:val="-6"/>
          <w:sz w:val="22"/>
          <w:szCs w:val="22"/>
          <w:lang w:val="en-US"/>
        </w:rPr>
        <w:t xml:space="preserve"> </w:t>
      </w:r>
      <w:r w:rsidR="00F75B3A" w:rsidRPr="00172E83">
        <w:rPr>
          <w:rFonts w:asciiTheme="minorHAnsi" w:hAnsiTheme="minorHAnsi"/>
          <w:i/>
          <w:color w:val="000000" w:themeColor="text1"/>
          <w:spacing w:val="-6"/>
          <w:sz w:val="22"/>
          <w:szCs w:val="22"/>
          <w:lang w:val="en-US"/>
        </w:rPr>
        <w:t>International Review of Applied Economics</w:t>
      </w:r>
      <w:r w:rsidR="0070050E" w:rsidRPr="00172E83">
        <w:rPr>
          <w:rFonts w:asciiTheme="minorHAnsi" w:hAnsiTheme="minorHAnsi"/>
          <w:color w:val="000000" w:themeColor="text1"/>
          <w:spacing w:val="-6"/>
          <w:sz w:val="22"/>
          <w:szCs w:val="22"/>
          <w:lang w:val="en-US"/>
        </w:rPr>
        <w:t>,</w:t>
      </w:r>
      <w:r w:rsidR="00F75B3A" w:rsidRPr="00172E83">
        <w:rPr>
          <w:rFonts w:asciiTheme="minorHAnsi" w:hAnsiTheme="minorHAnsi"/>
          <w:color w:val="000000" w:themeColor="text1"/>
          <w:spacing w:val="-6"/>
          <w:sz w:val="22"/>
          <w:szCs w:val="22"/>
          <w:lang w:val="en-US"/>
        </w:rPr>
        <w:t xml:space="preserve"> 28(3),</w:t>
      </w:r>
      <w:r w:rsidR="0070050E" w:rsidRPr="00172E83">
        <w:rPr>
          <w:rFonts w:asciiTheme="minorHAnsi" w:hAnsiTheme="minorHAnsi"/>
          <w:color w:val="000000" w:themeColor="text1"/>
          <w:spacing w:val="-6"/>
          <w:sz w:val="22"/>
          <w:szCs w:val="22"/>
          <w:lang w:val="en-US"/>
        </w:rPr>
        <w:t xml:space="preserve"> </w:t>
      </w:r>
      <w:r w:rsidR="00F75B3A" w:rsidRPr="00172E83">
        <w:rPr>
          <w:rFonts w:asciiTheme="minorHAnsi" w:hAnsiTheme="minorHAnsi"/>
          <w:color w:val="000000" w:themeColor="text1"/>
          <w:spacing w:val="-6"/>
          <w:sz w:val="22"/>
          <w:szCs w:val="22"/>
          <w:lang w:val="en-US"/>
        </w:rPr>
        <w:t>210-239</w:t>
      </w:r>
      <w:r w:rsidR="0070050E" w:rsidRPr="00172E83">
        <w:rPr>
          <w:rFonts w:asciiTheme="minorHAnsi" w:hAnsiTheme="minorHAnsi"/>
          <w:color w:val="000000" w:themeColor="text1"/>
          <w:spacing w:val="-6"/>
          <w:sz w:val="22"/>
          <w:szCs w:val="22"/>
          <w:lang w:val="en-US"/>
        </w:rPr>
        <w:t>.</w:t>
      </w:r>
    </w:p>
    <w:p w14:paraId="04769224" w14:textId="77777777" w:rsidR="00E14884" w:rsidRPr="00172E83" w:rsidRDefault="00E14884" w:rsidP="00E14884">
      <w:pPr>
        <w:pStyle w:val="BIBLIOG"/>
        <w:spacing w:line="276" w:lineRule="auto"/>
        <w:ind w:left="0" w:right="0" w:firstLine="0"/>
        <w:rPr>
          <w:rFonts w:asciiTheme="minorHAnsi" w:hAnsiTheme="minorHAnsi"/>
          <w:color w:val="000000" w:themeColor="text1"/>
          <w:spacing w:val="-6"/>
          <w:sz w:val="22"/>
          <w:szCs w:val="22"/>
          <w:lang w:val="en-US"/>
        </w:rPr>
      </w:pPr>
      <w:r w:rsidRPr="00172E83">
        <w:rPr>
          <w:rFonts w:asciiTheme="minorHAnsi" w:hAnsiTheme="minorHAnsi"/>
          <w:color w:val="000000" w:themeColor="text1"/>
          <w:spacing w:val="-6"/>
          <w:sz w:val="22"/>
          <w:szCs w:val="22"/>
          <w:lang w:val="en-US"/>
        </w:rPr>
        <w:t>Fritz, B</w:t>
      </w:r>
      <w:r w:rsidR="00C26E54" w:rsidRPr="00172E83">
        <w:rPr>
          <w:rFonts w:asciiTheme="minorHAnsi" w:hAnsiTheme="minorHAnsi"/>
          <w:color w:val="000000" w:themeColor="text1"/>
          <w:spacing w:val="-6"/>
          <w:sz w:val="22"/>
          <w:szCs w:val="22"/>
          <w:lang w:val="en-US"/>
        </w:rPr>
        <w:t>.</w:t>
      </w:r>
      <w:r w:rsidRPr="00172E83">
        <w:rPr>
          <w:rFonts w:asciiTheme="minorHAnsi" w:hAnsiTheme="minorHAnsi"/>
          <w:color w:val="000000" w:themeColor="text1"/>
          <w:spacing w:val="-6"/>
          <w:sz w:val="22"/>
          <w:szCs w:val="22"/>
          <w:lang w:val="en-US"/>
        </w:rPr>
        <w:t xml:space="preserve"> (2000): Development or Growth-cum-Debt? Reflections on Latin America's Economic Strategy in a Time of International Financial Instability, </w:t>
      </w:r>
      <w:r w:rsidR="00C26E54" w:rsidRPr="00172E83">
        <w:rPr>
          <w:rFonts w:asciiTheme="minorHAnsi" w:hAnsiTheme="minorHAnsi"/>
          <w:color w:val="000000" w:themeColor="text1"/>
          <w:spacing w:val="-6"/>
          <w:sz w:val="22"/>
          <w:szCs w:val="22"/>
          <w:lang w:val="en-US"/>
        </w:rPr>
        <w:t xml:space="preserve">Freie Universität Berlin, Discussion Paper, No. 2000/10. </w:t>
      </w:r>
    </w:p>
    <w:p w14:paraId="53D130F0" w14:textId="77777777" w:rsidR="00AB688B" w:rsidRPr="00172E83" w:rsidRDefault="003372A1" w:rsidP="00411665">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Gagnon, J</w:t>
      </w:r>
      <w:r w:rsidR="00C26E54"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E., Chaboud</w:t>
      </w:r>
      <w:r w:rsidR="00C26E54" w:rsidRPr="00172E83">
        <w:rPr>
          <w:rFonts w:asciiTheme="minorHAnsi" w:hAnsiTheme="minorHAnsi"/>
          <w:color w:val="000000" w:themeColor="text1"/>
          <w:sz w:val="22"/>
          <w:szCs w:val="22"/>
          <w:lang w:val="en-US"/>
        </w:rPr>
        <w:t>, A.P. (</w:t>
      </w:r>
      <w:r w:rsidRPr="00172E83">
        <w:rPr>
          <w:rFonts w:asciiTheme="minorHAnsi" w:hAnsiTheme="minorHAnsi"/>
          <w:color w:val="000000" w:themeColor="text1"/>
          <w:sz w:val="22"/>
          <w:szCs w:val="22"/>
          <w:lang w:val="en-US"/>
        </w:rPr>
        <w:t>2007</w:t>
      </w:r>
      <w:r w:rsidR="00C26E54"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What Can the Data Tell Us about Carry Trades in Japanese Yen? Board of Governors of the Federal Reserve System</w:t>
      </w:r>
      <w:r w:rsidR="00C26E54" w:rsidRPr="00172E83">
        <w:rPr>
          <w:rFonts w:asciiTheme="minorHAnsi" w:hAnsiTheme="minorHAnsi"/>
          <w:color w:val="000000" w:themeColor="text1"/>
          <w:sz w:val="22"/>
          <w:szCs w:val="22"/>
          <w:lang w:val="en-US"/>
        </w:rPr>
        <w:t>,  International Finance Discussion Papers, No. 899.</w:t>
      </w:r>
    </w:p>
    <w:p w14:paraId="1B4F5A6E" w14:textId="77777777" w:rsidR="00411665" w:rsidRPr="00172E83" w:rsidRDefault="00411665" w:rsidP="00411665">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Gallagher, K</w:t>
      </w:r>
      <w:r w:rsidR="00C26E54"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2014</w:t>
      </w:r>
      <w:r w:rsidR="00C26E54"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w:t>
      </w:r>
      <w:r w:rsidRPr="00172E83">
        <w:rPr>
          <w:rFonts w:asciiTheme="minorHAnsi" w:hAnsiTheme="minorHAnsi"/>
          <w:i/>
          <w:color w:val="000000" w:themeColor="text1"/>
          <w:sz w:val="22"/>
          <w:szCs w:val="22"/>
          <w:lang w:val="en-US"/>
        </w:rPr>
        <w:t>Countervailing Monetary Power: Emerging Markets and the Re-Regulation of Cross-Border Finance</w:t>
      </w:r>
      <w:r w:rsidRPr="00172E83">
        <w:rPr>
          <w:rFonts w:asciiTheme="minorHAnsi" w:hAnsiTheme="minorHAnsi"/>
          <w:color w:val="000000" w:themeColor="text1"/>
          <w:sz w:val="22"/>
          <w:szCs w:val="22"/>
          <w:lang w:val="en-US"/>
        </w:rPr>
        <w:t>, Ithaca</w:t>
      </w:r>
      <w:r w:rsidR="00C26E54"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Cornell University Press.</w:t>
      </w:r>
    </w:p>
    <w:p w14:paraId="4E4CEF5F" w14:textId="77777777" w:rsidR="003372A1" w:rsidRPr="00172E83" w:rsidRDefault="003372A1" w:rsidP="003372A1">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Gallagher, K</w:t>
      </w:r>
      <w:r w:rsidR="00C26E54"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Griffith-Jones, </w:t>
      </w:r>
      <w:r w:rsidR="00C26E54" w:rsidRPr="00172E83">
        <w:rPr>
          <w:rFonts w:asciiTheme="minorHAnsi" w:hAnsiTheme="minorHAnsi"/>
          <w:color w:val="000000" w:themeColor="text1"/>
          <w:sz w:val="22"/>
          <w:szCs w:val="22"/>
          <w:lang w:val="en-US"/>
        </w:rPr>
        <w:t xml:space="preserve">S., </w:t>
      </w:r>
      <w:r w:rsidRPr="00172E83">
        <w:rPr>
          <w:rFonts w:asciiTheme="minorHAnsi" w:hAnsiTheme="minorHAnsi"/>
          <w:color w:val="000000" w:themeColor="text1"/>
          <w:sz w:val="22"/>
          <w:szCs w:val="22"/>
          <w:lang w:val="en-US"/>
        </w:rPr>
        <w:t xml:space="preserve">Ocampo, </w:t>
      </w:r>
      <w:r w:rsidR="00C26E54" w:rsidRPr="00172E83">
        <w:rPr>
          <w:rFonts w:asciiTheme="minorHAnsi" w:hAnsiTheme="minorHAnsi"/>
          <w:color w:val="000000" w:themeColor="text1"/>
          <w:sz w:val="22"/>
          <w:szCs w:val="22"/>
          <w:lang w:val="en-US"/>
        </w:rPr>
        <w:t>J.A. (</w:t>
      </w:r>
      <w:r w:rsidRPr="00172E83">
        <w:rPr>
          <w:rFonts w:asciiTheme="minorHAnsi" w:hAnsiTheme="minorHAnsi"/>
          <w:color w:val="000000" w:themeColor="text1"/>
          <w:sz w:val="22"/>
          <w:szCs w:val="22"/>
          <w:lang w:val="en-US"/>
        </w:rPr>
        <w:t>eds, 2012</w:t>
      </w:r>
      <w:r w:rsidR="00C26E54"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w:t>
      </w:r>
      <w:r w:rsidRPr="00172E83">
        <w:rPr>
          <w:rFonts w:asciiTheme="minorHAnsi" w:hAnsiTheme="minorHAnsi"/>
          <w:i/>
          <w:color w:val="000000" w:themeColor="text1"/>
          <w:sz w:val="22"/>
          <w:szCs w:val="22"/>
          <w:lang w:val="en-US"/>
        </w:rPr>
        <w:t>Regulating Global Capital Flows for Long-Run Development</w:t>
      </w:r>
      <w:r w:rsidRPr="00172E83">
        <w:rPr>
          <w:rFonts w:asciiTheme="minorHAnsi" w:hAnsiTheme="minorHAnsi"/>
          <w:color w:val="000000" w:themeColor="text1"/>
          <w:sz w:val="22"/>
          <w:szCs w:val="22"/>
          <w:lang w:val="en-US"/>
        </w:rPr>
        <w:t>, Boston, MA: Pardee Center Task Force Report</w:t>
      </w:r>
      <w:r w:rsidR="00C26E54" w:rsidRPr="00172E83">
        <w:rPr>
          <w:rFonts w:asciiTheme="minorHAnsi" w:hAnsiTheme="minorHAnsi"/>
          <w:color w:val="000000" w:themeColor="text1"/>
          <w:sz w:val="22"/>
          <w:szCs w:val="22"/>
          <w:lang w:val="en-US"/>
        </w:rPr>
        <w:t>.</w:t>
      </w:r>
    </w:p>
    <w:p w14:paraId="7887FF4D" w14:textId="77777777" w:rsidR="00AF1206" w:rsidRPr="00172E83" w:rsidRDefault="00AF1206" w:rsidP="003372A1">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Garcia, M</w:t>
      </w:r>
      <w:r w:rsidR="00C26E54"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G.</w:t>
      </w:r>
      <w:r w:rsidR="00C26E54" w:rsidRPr="00172E83">
        <w:rPr>
          <w:rFonts w:asciiTheme="minorHAnsi" w:hAnsiTheme="minorHAnsi"/>
          <w:color w:val="000000" w:themeColor="text1"/>
          <w:sz w:val="22"/>
          <w:szCs w:val="22"/>
          <w:lang w:val="en-US"/>
        </w:rPr>
        <w:t xml:space="preserve">, </w:t>
      </w:r>
      <w:r w:rsidRPr="00172E83">
        <w:rPr>
          <w:rFonts w:asciiTheme="minorHAnsi" w:hAnsiTheme="minorHAnsi"/>
          <w:color w:val="000000" w:themeColor="text1"/>
          <w:sz w:val="22"/>
          <w:szCs w:val="22"/>
          <w:lang w:val="en-US"/>
        </w:rPr>
        <w:t>Barcinsky, A</w:t>
      </w:r>
      <w:r w:rsidR="00C26E54" w:rsidRPr="00172E83">
        <w:rPr>
          <w:rFonts w:asciiTheme="minorHAnsi" w:hAnsiTheme="minorHAnsi"/>
          <w:color w:val="000000" w:themeColor="text1"/>
          <w:sz w:val="22"/>
          <w:szCs w:val="22"/>
          <w:lang w:val="en-US"/>
        </w:rPr>
        <w:t>. (</w:t>
      </w:r>
      <w:r w:rsidRPr="00172E83">
        <w:rPr>
          <w:rFonts w:asciiTheme="minorHAnsi" w:hAnsiTheme="minorHAnsi"/>
          <w:color w:val="000000" w:themeColor="text1"/>
          <w:sz w:val="22"/>
          <w:szCs w:val="22"/>
          <w:lang w:val="en-US"/>
        </w:rPr>
        <w:t>1997</w:t>
      </w:r>
      <w:r w:rsidR="00C26E54"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Capital flows to Brazil in the nineties: macroeconomic aspects and the effectiveness of capital controls. PUC Rio de Janeiro,  Discussion Paper</w:t>
      </w:r>
      <w:r w:rsidR="00C26E54"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No. 357</w:t>
      </w:r>
      <w:r w:rsidR="00C26E54" w:rsidRPr="00172E83">
        <w:rPr>
          <w:rFonts w:asciiTheme="minorHAnsi" w:hAnsiTheme="minorHAnsi"/>
          <w:color w:val="000000" w:themeColor="text1"/>
          <w:sz w:val="22"/>
          <w:szCs w:val="22"/>
          <w:lang w:val="en-US"/>
        </w:rPr>
        <w:t>.</w:t>
      </w:r>
    </w:p>
    <w:p w14:paraId="145A2D7A" w14:textId="5F010A85" w:rsidR="003372A1" w:rsidRPr="00172E83" w:rsidRDefault="003372A1" w:rsidP="003372A1">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 xml:space="preserve">Herr, H., Kazandziska, M. (2011):  </w:t>
      </w:r>
      <w:r w:rsidRPr="00172E83">
        <w:rPr>
          <w:rFonts w:asciiTheme="minorHAnsi" w:hAnsiTheme="minorHAnsi"/>
          <w:i/>
          <w:color w:val="000000" w:themeColor="text1"/>
          <w:sz w:val="22"/>
          <w:szCs w:val="22"/>
          <w:lang w:val="en-US"/>
        </w:rPr>
        <w:t xml:space="preserve">Macroeconomic Policy Regimes in Western Industrial Countries, </w:t>
      </w:r>
      <w:r w:rsidRPr="00172E83">
        <w:rPr>
          <w:rFonts w:asciiTheme="minorHAnsi" w:hAnsiTheme="minorHAnsi"/>
          <w:color w:val="000000" w:themeColor="text1"/>
          <w:sz w:val="22"/>
          <w:szCs w:val="22"/>
          <w:lang w:val="en-US"/>
        </w:rPr>
        <w:t>Routledge, London</w:t>
      </w:r>
      <w:r w:rsidR="003E337E"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w:t>
      </w:r>
    </w:p>
    <w:p w14:paraId="628F6893" w14:textId="77777777" w:rsidR="003372A1" w:rsidRPr="00172E83" w:rsidRDefault="003372A1" w:rsidP="003372A1">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IMF</w:t>
      </w:r>
      <w:r w:rsidR="00C26E54"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2011</w:t>
      </w:r>
      <w:r w:rsidR="00C26E54"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Recent Experiences in Managing Capital Inflows – Cross-Cutting Themes and Possible Policy Framework, </w:t>
      </w:r>
      <w:r w:rsidR="00C26E54" w:rsidRPr="00172E83">
        <w:rPr>
          <w:rFonts w:asciiTheme="minorHAnsi" w:hAnsiTheme="minorHAnsi"/>
          <w:color w:val="000000" w:themeColor="text1"/>
          <w:sz w:val="22"/>
          <w:szCs w:val="22"/>
          <w:lang w:val="en-US"/>
        </w:rPr>
        <w:t>URL</w:t>
      </w:r>
      <w:r w:rsidRPr="00172E83">
        <w:rPr>
          <w:rFonts w:asciiTheme="minorHAnsi" w:hAnsiTheme="minorHAnsi"/>
          <w:color w:val="000000" w:themeColor="text1"/>
          <w:sz w:val="22"/>
          <w:szCs w:val="22"/>
          <w:lang w:val="en-US"/>
        </w:rPr>
        <w:t xml:space="preserve">: </w:t>
      </w:r>
      <w:hyperlink r:id="rId23">
        <w:r w:rsidRPr="00172E83">
          <w:rPr>
            <w:rStyle w:val="LinkdaInternet"/>
            <w:rFonts w:asciiTheme="minorHAnsi" w:hAnsiTheme="minorHAnsi"/>
            <w:color w:val="000000" w:themeColor="text1"/>
            <w:sz w:val="22"/>
            <w:szCs w:val="22"/>
            <w:lang w:val="en-US"/>
          </w:rPr>
          <w:t>http://bit.ly/QSqrVQ</w:t>
        </w:r>
      </w:hyperlink>
      <w:r w:rsidR="00C26E54" w:rsidRPr="00172E83">
        <w:rPr>
          <w:rFonts w:asciiTheme="minorHAnsi" w:hAnsiTheme="minorHAnsi"/>
          <w:color w:val="000000" w:themeColor="text1"/>
          <w:sz w:val="22"/>
          <w:szCs w:val="22"/>
          <w:lang w:val="en-US"/>
        </w:rPr>
        <w:t>.</w:t>
      </w:r>
    </w:p>
    <w:p w14:paraId="32ABC5A4" w14:textId="77777777" w:rsidR="003372A1" w:rsidRPr="00172E83" w:rsidRDefault="003372A1" w:rsidP="003372A1">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IMF</w:t>
      </w:r>
      <w:r w:rsidR="00C26E54"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2012</w:t>
      </w:r>
      <w:r w:rsidR="00C26E54"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The Liberalization and Management of Capital Flows – An Institutional View, </w:t>
      </w:r>
      <w:r w:rsidR="00C26E54" w:rsidRPr="00172E83">
        <w:rPr>
          <w:rFonts w:asciiTheme="minorHAnsi" w:hAnsiTheme="minorHAnsi"/>
          <w:color w:val="000000" w:themeColor="text1"/>
          <w:sz w:val="22"/>
          <w:szCs w:val="22"/>
          <w:lang w:val="en-US"/>
        </w:rPr>
        <w:t>URL</w:t>
      </w:r>
      <w:r w:rsidRPr="00172E83">
        <w:rPr>
          <w:rFonts w:asciiTheme="minorHAnsi" w:hAnsiTheme="minorHAnsi"/>
          <w:color w:val="000000" w:themeColor="text1"/>
          <w:sz w:val="22"/>
          <w:szCs w:val="22"/>
          <w:lang w:val="en-US"/>
        </w:rPr>
        <w:t xml:space="preserve">: </w:t>
      </w:r>
      <w:hyperlink r:id="rId24">
        <w:r w:rsidRPr="00172E83">
          <w:rPr>
            <w:rStyle w:val="LinkdaInternet"/>
            <w:rFonts w:asciiTheme="minorHAnsi" w:hAnsiTheme="minorHAnsi"/>
            <w:color w:val="000000" w:themeColor="text1"/>
            <w:sz w:val="22"/>
            <w:szCs w:val="22"/>
            <w:lang w:val="en-US"/>
          </w:rPr>
          <w:t>http://www.imf.org/external/np/pp/eng/2012/111412.pdf</w:t>
        </w:r>
      </w:hyperlink>
      <w:r w:rsidRPr="00172E83">
        <w:rPr>
          <w:rFonts w:asciiTheme="minorHAnsi" w:hAnsiTheme="minorHAnsi"/>
          <w:color w:val="000000" w:themeColor="text1"/>
          <w:sz w:val="22"/>
          <w:szCs w:val="22"/>
          <w:lang w:val="en-US"/>
        </w:rPr>
        <w:t>.</w:t>
      </w:r>
    </w:p>
    <w:p w14:paraId="02C9F02F" w14:textId="77777777" w:rsidR="005A5D4B" w:rsidRPr="00172E83" w:rsidRDefault="005A5D4B" w:rsidP="00745578">
      <w:pPr>
        <w:pStyle w:val="Default"/>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 xml:space="preserve">Kaltenbrunner/Painceira </w:t>
      </w:r>
      <w:r w:rsidR="00745578"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2012</w:t>
      </w:r>
      <w:r w:rsidR="00745578" w:rsidRPr="00172E83">
        <w:rPr>
          <w:rFonts w:asciiTheme="minorHAnsi" w:hAnsiTheme="minorHAnsi"/>
          <w:color w:val="000000" w:themeColor="text1"/>
          <w:sz w:val="22"/>
          <w:szCs w:val="22"/>
          <w:lang w:val="en-US"/>
        </w:rPr>
        <w:t xml:space="preserve">) </w:t>
      </w:r>
      <w:r w:rsidR="00745578" w:rsidRPr="00172E83">
        <w:rPr>
          <w:color w:val="000000" w:themeColor="text1"/>
          <w:lang w:val="en-US"/>
        </w:rPr>
        <w:t xml:space="preserve"> </w:t>
      </w:r>
      <w:r w:rsidR="00745578" w:rsidRPr="00172E83">
        <w:rPr>
          <w:rFonts w:asciiTheme="minorHAnsi" w:hAnsiTheme="minorHAnsi"/>
          <w:color w:val="000000" w:themeColor="text1"/>
          <w:sz w:val="22"/>
          <w:szCs w:val="22"/>
          <w:lang w:val="en-US"/>
        </w:rPr>
        <w:t>The Impossible Trinity on “Steroids”: Inflation Targeting and Exchange Rate Management in Emerging Markets. Leeds University Business School. Manuscript.</w:t>
      </w:r>
    </w:p>
    <w:p w14:paraId="180FF91E" w14:textId="77777777" w:rsidR="00745578" w:rsidRPr="00172E83" w:rsidRDefault="00745578" w:rsidP="00745578">
      <w:pPr>
        <w:pStyle w:val="Default"/>
        <w:rPr>
          <w:rFonts w:asciiTheme="minorHAnsi" w:hAnsiTheme="minorHAnsi"/>
          <w:color w:val="000000" w:themeColor="text1"/>
          <w:sz w:val="22"/>
          <w:szCs w:val="22"/>
          <w:lang w:val="en-US"/>
        </w:rPr>
      </w:pPr>
    </w:p>
    <w:p w14:paraId="37D4B6AA" w14:textId="77777777" w:rsidR="003372A1" w:rsidRPr="00172E83" w:rsidRDefault="003372A1" w:rsidP="003372A1">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 xml:space="preserve">Kaltenbrunner, A. </w:t>
      </w:r>
      <w:r w:rsidR="00BC3D3E"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2010</w:t>
      </w:r>
      <w:r w:rsidR="00BC3D3E"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International Financialization and Depreciation: The Brazilian Real in the International Financial Crisis</w:t>
      </w:r>
      <w:r w:rsidR="00BC3D3E" w:rsidRPr="00172E83">
        <w:rPr>
          <w:rFonts w:asciiTheme="minorHAnsi" w:hAnsiTheme="minorHAnsi"/>
          <w:color w:val="000000" w:themeColor="text1"/>
          <w:sz w:val="22"/>
          <w:szCs w:val="22"/>
          <w:lang w:val="en-US"/>
        </w:rPr>
        <w:t xml:space="preserve">, in: </w:t>
      </w:r>
      <w:r w:rsidRPr="00172E83">
        <w:rPr>
          <w:rFonts w:asciiTheme="minorHAnsi" w:hAnsiTheme="minorHAnsi"/>
          <w:i/>
          <w:color w:val="000000" w:themeColor="text1"/>
          <w:sz w:val="22"/>
          <w:szCs w:val="22"/>
          <w:lang w:val="en-US"/>
        </w:rPr>
        <w:t>Competition and Change</w:t>
      </w:r>
      <w:r w:rsidR="00BC3D3E" w:rsidRPr="00172E83">
        <w:rPr>
          <w:rFonts w:asciiTheme="minorHAnsi" w:hAnsiTheme="minorHAnsi"/>
          <w:i/>
          <w:color w:val="000000" w:themeColor="text1"/>
          <w:sz w:val="22"/>
          <w:szCs w:val="22"/>
          <w:lang w:val="en-US"/>
        </w:rPr>
        <w:t>,</w:t>
      </w:r>
      <w:r w:rsidRPr="00172E83">
        <w:rPr>
          <w:rFonts w:asciiTheme="minorHAnsi" w:hAnsiTheme="minorHAnsi"/>
          <w:color w:val="000000" w:themeColor="text1"/>
          <w:sz w:val="22"/>
          <w:szCs w:val="22"/>
          <w:lang w:val="en-US"/>
        </w:rPr>
        <w:t xml:space="preserve"> 14(3-4)</w:t>
      </w:r>
      <w:r w:rsidR="00BC3D3E" w:rsidRPr="00172E83">
        <w:rPr>
          <w:rFonts w:asciiTheme="minorHAnsi" w:hAnsiTheme="minorHAnsi"/>
          <w:color w:val="000000" w:themeColor="text1"/>
          <w:sz w:val="22"/>
          <w:szCs w:val="22"/>
          <w:lang w:val="en-US"/>
        </w:rPr>
        <w:t xml:space="preserve">, </w:t>
      </w:r>
      <w:r w:rsidRPr="00172E83">
        <w:rPr>
          <w:rFonts w:asciiTheme="minorHAnsi" w:hAnsiTheme="minorHAnsi"/>
          <w:color w:val="000000" w:themeColor="text1"/>
          <w:sz w:val="22"/>
          <w:szCs w:val="22"/>
          <w:lang w:val="en-US"/>
        </w:rPr>
        <w:t xml:space="preserve">294–321. </w:t>
      </w:r>
    </w:p>
    <w:p w14:paraId="76705C2A" w14:textId="77777777" w:rsidR="00F645A1" w:rsidRPr="00172E83" w:rsidRDefault="00F645A1" w:rsidP="003372A1">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lang w:val="en-US"/>
        </w:rPr>
        <w:t xml:space="preserve">Kregel, J. </w:t>
      </w:r>
      <w:r w:rsidR="00BC3D3E"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2000</w:t>
      </w:r>
      <w:r w:rsidR="00BC3D3E"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The Brazilian Crisis: From Inertial Inflation to Fiscal Fragility, Levy Institute</w:t>
      </w:r>
      <w:r w:rsidR="00BC3D3E"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Working </w:t>
      </w:r>
      <w:r w:rsidR="00BC3D3E" w:rsidRPr="00172E83">
        <w:rPr>
          <w:rFonts w:asciiTheme="minorHAnsi" w:hAnsiTheme="minorHAnsi"/>
          <w:color w:val="000000" w:themeColor="text1"/>
          <w:sz w:val="22"/>
          <w:szCs w:val="22"/>
          <w:lang w:val="en-US"/>
        </w:rPr>
        <w:t>P</w:t>
      </w:r>
      <w:r w:rsidRPr="00172E83">
        <w:rPr>
          <w:rFonts w:asciiTheme="minorHAnsi" w:hAnsiTheme="minorHAnsi"/>
          <w:color w:val="000000" w:themeColor="text1"/>
          <w:sz w:val="22"/>
          <w:szCs w:val="22"/>
          <w:lang w:val="en-US"/>
        </w:rPr>
        <w:t>aper</w:t>
      </w:r>
      <w:r w:rsidR="00BC3D3E" w:rsidRPr="00172E83">
        <w:rPr>
          <w:rFonts w:asciiTheme="minorHAnsi" w:hAnsiTheme="minorHAnsi"/>
          <w:color w:val="000000" w:themeColor="text1"/>
          <w:sz w:val="22"/>
          <w:szCs w:val="22"/>
          <w:lang w:val="en-US"/>
        </w:rPr>
        <w:t xml:space="preserve">, No. </w:t>
      </w:r>
      <w:r w:rsidRPr="00172E83">
        <w:rPr>
          <w:rFonts w:asciiTheme="minorHAnsi" w:hAnsiTheme="minorHAnsi"/>
          <w:color w:val="000000" w:themeColor="text1"/>
          <w:sz w:val="22"/>
          <w:szCs w:val="22"/>
          <w:lang w:val="en-US"/>
        </w:rPr>
        <w:t xml:space="preserve">294, </w:t>
      </w:r>
      <w:r w:rsidR="00BC3D3E" w:rsidRPr="00172E83">
        <w:rPr>
          <w:rFonts w:asciiTheme="minorHAnsi" w:hAnsiTheme="minorHAnsi"/>
          <w:color w:val="000000" w:themeColor="text1"/>
          <w:sz w:val="22"/>
          <w:szCs w:val="22"/>
          <w:lang w:val="en-US"/>
        </w:rPr>
        <w:t>URL</w:t>
      </w:r>
      <w:r w:rsidRPr="00172E83">
        <w:rPr>
          <w:rFonts w:asciiTheme="minorHAnsi" w:hAnsiTheme="minorHAnsi"/>
          <w:color w:val="000000" w:themeColor="text1"/>
          <w:sz w:val="22"/>
          <w:szCs w:val="22"/>
          <w:lang w:val="en-US"/>
        </w:rPr>
        <w:t>: http://www.levyinstitute.org/pubs/wp294.pdf</w:t>
      </w:r>
      <w:r w:rsidR="00BC3D3E" w:rsidRPr="00172E83">
        <w:rPr>
          <w:rFonts w:asciiTheme="minorHAnsi" w:hAnsiTheme="minorHAnsi"/>
          <w:color w:val="000000" w:themeColor="text1"/>
          <w:sz w:val="22"/>
          <w:szCs w:val="22"/>
          <w:lang w:val="en-US"/>
        </w:rPr>
        <w:t>.</w:t>
      </w:r>
    </w:p>
    <w:p w14:paraId="4F8CB13E" w14:textId="77777777" w:rsidR="003372A1" w:rsidRPr="00172E83" w:rsidRDefault="003372A1" w:rsidP="003372A1">
      <w:pPr>
        <w:pStyle w:val="Padro"/>
        <w:spacing w:after="120"/>
        <w:jc w:val="both"/>
        <w:rPr>
          <w:rFonts w:asciiTheme="minorHAnsi" w:hAnsiTheme="minorHAnsi"/>
          <w:color w:val="000000" w:themeColor="text1"/>
          <w:sz w:val="22"/>
          <w:szCs w:val="22"/>
          <w:lang w:val="en-US"/>
        </w:rPr>
      </w:pPr>
      <w:r w:rsidRPr="00172E83">
        <w:rPr>
          <w:rFonts w:asciiTheme="minorHAnsi" w:hAnsiTheme="minorHAnsi"/>
          <w:color w:val="000000" w:themeColor="text1"/>
          <w:sz w:val="22"/>
          <w:szCs w:val="22"/>
        </w:rPr>
        <w:t>Magud, N</w:t>
      </w:r>
      <w:r w:rsidR="00BC3D3E" w:rsidRPr="00172E83">
        <w:rPr>
          <w:rFonts w:asciiTheme="minorHAnsi" w:hAnsiTheme="minorHAnsi"/>
          <w:color w:val="000000" w:themeColor="text1"/>
          <w:sz w:val="22"/>
          <w:szCs w:val="22"/>
        </w:rPr>
        <w:t xml:space="preserve">., </w:t>
      </w:r>
      <w:r w:rsidRPr="00172E83">
        <w:rPr>
          <w:rFonts w:asciiTheme="minorHAnsi" w:hAnsiTheme="minorHAnsi"/>
          <w:color w:val="000000" w:themeColor="text1"/>
          <w:sz w:val="22"/>
          <w:szCs w:val="22"/>
        </w:rPr>
        <w:t xml:space="preserve">Reinhart, </w:t>
      </w:r>
      <w:r w:rsidR="00BC3D3E" w:rsidRPr="00172E83">
        <w:rPr>
          <w:rFonts w:asciiTheme="minorHAnsi" w:hAnsiTheme="minorHAnsi"/>
          <w:color w:val="000000" w:themeColor="text1"/>
          <w:sz w:val="22"/>
          <w:szCs w:val="22"/>
        </w:rPr>
        <w:t xml:space="preserve">C.M., </w:t>
      </w:r>
      <w:r w:rsidRPr="00172E83">
        <w:rPr>
          <w:rFonts w:asciiTheme="minorHAnsi" w:hAnsiTheme="minorHAnsi"/>
          <w:color w:val="000000" w:themeColor="text1"/>
          <w:sz w:val="22"/>
          <w:szCs w:val="22"/>
        </w:rPr>
        <w:t xml:space="preserve">Rogoff. </w:t>
      </w:r>
      <w:r w:rsidR="00BC3D3E" w:rsidRPr="00172E83">
        <w:rPr>
          <w:rFonts w:asciiTheme="minorHAnsi" w:hAnsiTheme="minorHAnsi"/>
          <w:color w:val="000000" w:themeColor="text1"/>
          <w:sz w:val="22"/>
          <w:szCs w:val="22"/>
          <w:lang w:val="en-US"/>
        </w:rPr>
        <w:t>K. (</w:t>
      </w:r>
      <w:r w:rsidRPr="00172E83">
        <w:rPr>
          <w:rFonts w:asciiTheme="minorHAnsi" w:hAnsiTheme="minorHAnsi"/>
          <w:color w:val="000000" w:themeColor="text1"/>
          <w:sz w:val="22"/>
          <w:szCs w:val="22"/>
          <w:lang w:val="en-US"/>
        </w:rPr>
        <w:t>2011</w:t>
      </w:r>
      <w:r w:rsidR="00BC3D3E" w:rsidRPr="00172E83">
        <w:rPr>
          <w:rFonts w:asciiTheme="minorHAnsi" w:hAnsiTheme="minorHAnsi"/>
          <w:color w:val="000000" w:themeColor="text1"/>
          <w:sz w:val="22"/>
          <w:szCs w:val="22"/>
          <w:lang w:val="en-US"/>
        </w:rPr>
        <w:t>):</w:t>
      </w:r>
      <w:r w:rsidRPr="00172E83">
        <w:rPr>
          <w:rFonts w:asciiTheme="minorHAnsi" w:hAnsiTheme="minorHAnsi"/>
          <w:color w:val="000000" w:themeColor="text1"/>
          <w:sz w:val="22"/>
          <w:szCs w:val="22"/>
          <w:lang w:val="en-US"/>
        </w:rPr>
        <w:t xml:space="preserve"> </w:t>
      </w:r>
      <w:r w:rsidRPr="00172E83">
        <w:rPr>
          <w:rFonts w:asciiTheme="minorHAnsi" w:hAnsiTheme="minorHAnsi"/>
          <w:i/>
          <w:color w:val="000000" w:themeColor="text1"/>
          <w:sz w:val="22"/>
          <w:szCs w:val="22"/>
          <w:lang w:val="en-US"/>
        </w:rPr>
        <w:t>Capital Controls. Myth and Reality – A Portfolio Balance Approach</w:t>
      </w:r>
      <w:r w:rsidRPr="00172E83">
        <w:rPr>
          <w:rFonts w:asciiTheme="minorHAnsi" w:hAnsiTheme="minorHAnsi"/>
          <w:color w:val="000000" w:themeColor="text1"/>
          <w:sz w:val="22"/>
          <w:szCs w:val="22"/>
          <w:lang w:val="en-US"/>
        </w:rPr>
        <w:t>, Cambridge, Mass.: National Bureau of Economic Research.</w:t>
      </w:r>
    </w:p>
    <w:p w14:paraId="63786645" w14:textId="77777777" w:rsidR="00AB688B" w:rsidRPr="00172E83" w:rsidRDefault="00F75B3A" w:rsidP="00F75B3A">
      <w:pPr>
        <w:spacing w:after="120"/>
        <w:jc w:val="both"/>
        <w:rPr>
          <w:i/>
          <w:color w:val="000000" w:themeColor="text1"/>
          <w:lang w:val="en-US"/>
        </w:rPr>
      </w:pPr>
      <w:r w:rsidRPr="00172E83">
        <w:rPr>
          <w:color w:val="000000" w:themeColor="text1"/>
          <w:lang w:val="en-US"/>
        </w:rPr>
        <w:t>Ostry, J</w:t>
      </w:r>
      <w:r w:rsidR="00BC3D3E" w:rsidRPr="00172E83">
        <w:rPr>
          <w:color w:val="000000" w:themeColor="text1"/>
          <w:lang w:val="en-US"/>
        </w:rPr>
        <w:t xml:space="preserve">., </w:t>
      </w:r>
      <w:r w:rsidRPr="00172E83">
        <w:rPr>
          <w:color w:val="000000" w:themeColor="text1"/>
          <w:lang w:val="en-US"/>
        </w:rPr>
        <w:t xml:space="preserve">Ghosh, </w:t>
      </w:r>
      <w:r w:rsidR="00BC3D3E" w:rsidRPr="00172E83">
        <w:rPr>
          <w:color w:val="000000" w:themeColor="text1"/>
          <w:lang w:val="en-US"/>
        </w:rPr>
        <w:t xml:space="preserve">A., </w:t>
      </w:r>
      <w:r w:rsidRPr="00172E83">
        <w:rPr>
          <w:color w:val="000000" w:themeColor="text1"/>
          <w:lang w:val="en-US"/>
        </w:rPr>
        <w:t xml:space="preserve">Habermeier, </w:t>
      </w:r>
      <w:r w:rsidR="00BC3D3E" w:rsidRPr="00172E83">
        <w:rPr>
          <w:color w:val="000000" w:themeColor="text1"/>
          <w:lang w:val="en-US"/>
        </w:rPr>
        <w:t xml:space="preserve">K., </w:t>
      </w:r>
      <w:r w:rsidRPr="00172E83">
        <w:rPr>
          <w:color w:val="000000" w:themeColor="text1"/>
          <w:lang w:val="en-US"/>
        </w:rPr>
        <w:t xml:space="preserve">Chamon, </w:t>
      </w:r>
      <w:r w:rsidR="00BC3D3E" w:rsidRPr="00172E83">
        <w:rPr>
          <w:color w:val="000000" w:themeColor="text1"/>
          <w:lang w:val="en-US"/>
        </w:rPr>
        <w:t xml:space="preserve">M., </w:t>
      </w:r>
      <w:r w:rsidRPr="00172E83">
        <w:rPr>
          <w:color w:val="000000" w:themeColor="text1"/>
          <w:lang w:val="en-US"/>
        </w:rPr>
        <w:t xml:space="preserve">Qureshi, </w:t>
      </w:r>
      <w:r w:rsidR="00BC3D3E" w:rsidRPr="00172E83">
        <w:rPr>
          <w:color w:val="000000" w:themeColor="text1"/>
          <w:lang w:val="en-US"/>
        </w:rPr>
        <w:t xml:space="preserve">M., </w:t>
      </w:r>
      <w:r w:rsidRPr="00172E83">
        <w:rPr>
          <w:color w:val="000000" w:themeColor="text1"/>
          <w:lang w:val="en-US"/>
        </w:rPr>
        <w:t xml:space="preserve"> Reinhardt</w:t>
      </w:r>
      <w:r w:rsidR="00BC3D3E" w:rsidRPr="00172E83">
        <w:rPr>
          <w:color w:val="000000" w:themeColor="text1"/>
          <w:lang w:val="en-US"/>
        </w:rPr>
        <w:t>, D.(</w:t>
      </w:r>
      <w:r w:rsidRPr="00172E83">
        <w:rPr>
          <w:color w:val="000000" w:themeColor="text1"/>
          <w:lang w:val="en-US"/>
        </w:rPr>
        <w:t>2010</w:t>
      </w:r>
      <w:r w:rsidR="00BC3D3E" w:rsidRPr="00172E83">
        <w:rPr>
          <w:color w:val="000000" w:themeColor="text1"/>
          <w:lang w:val="en-US"/>
        </w:rPr>
        <w:t>):</w:t>
      </w:r>
      <w:r w:rsidRPr="00172E83">
        <w:rPr>
          <w:color w:val="000000" w:themeColor="text1"/>
          <w:lang w:val="en-US"/>
        </w:rPr>
        <w:t xml:space="preserve"> Capital Inflows. The Role of Controls</w:t>
      </w:r>
      <w:r w:rsidR="00BC3D3E" w:rsidRPr="00172E83">
        <w:rPr>
          <w:color w:val="000000" w:themeColor="text1"/>
          <w:lang w:val="en-US"/>
        </w:rPr>
        <w:t>,</w:t>
      </w:r>
      <w:r w:rsidRPr="00172E83">
        <w:rPr>
          <w:color w:val="000000" w:themeColor="text1"/>
          <w:lang w:val="en-US"/>
        </w:rPr>
        <w:t xml:space="preserve"> </w:t>
      </w:r>
      <w:r w:rsidR="00AB688B" w:rsidRPr="00172E83">
        <w:rPr>
          <w:color w:val="000000" w:themeColor="text1"/>
          <w:lang w:val="en-US"/>
        </w:rPr>
        <w:t xml:space="preserve">IMF Staff Position Note </w:t>
      </w:r>
      <w:r w:rsidR="00BC3D3E" w:rsidRPr="00172E83">
        <w:rPr>
          <w:color w:val="000000" w:themeColor="text1"/>
          <w:lang w:val="en-US"/>
        </w:rPr>
        <w:t xml:space="preserve">, No. </w:t>
      </w:r>
      <w:r w:rsidR="00AB688B" w:rsidRPr="00172E83">
        <w:rPr>
          <w:color w:val="000000" w:themeColor="text1"/>
          <w:lang w:val="en-US"/>
        </w:rPr>
        <w:t>10/04.</w:t>
      </w:r>
    </w:p>
    <w:p w14:paraId="1CF8619A" w14:textId="77777777" w:rsidR="00F75B3A" w:rsidRPr="00172E83" w:rsidRDefault="00F75B3A" w:rsidP="00F75B3A">
      <w:pPr>
        <w:spacing w:after="120"/>
        <w:jc w:val="both"/>
        <w:rPr>
          <w:color w:val="000000" w:themeColor="text1"/>
          <w:lang w:val="en-US"/>
        </w:rPr>
      </w:pPr>
      <w:r w:rsidRPr="00172E83">
        <w:rPr>
          <w:color w:val="000000" w:themeColor="text1"/>
          <w:lang w:val="en-US"/>
        </w:rPr>
        <w:t>Paula, L</w:t>
      </w:r>
      <w:r w:rsidR="00BC3D3E" w:rsidRPr="00172E83">
        <w:rPr>
          <w:color w:val="000000" w:themeColor="text1"/>
          <w:lang w:val="en-US"/>
        </w:rPr>
        <w:t>.F.</w:t>
      </w:r>
      <w:r w:rsidR="00671F48" w:rsidRPr="00172E83">
        <w:rPr>
          <w:color w:val="000000" w:themeColor="text1"/>
          <w:lang w:val="en-US"/>
        </w:rPr>
        <w:t xml:space="preserve"> de</w:t>
      </w:r>
      <w:r w:rsidR="00BC3D3E" w:rsidRPr="00172E83">
        <w:rPr>
          <w:color w:val="000000" w:themeColor="text1"/>
          <w:lang w:val="en-US"/>
        </w:rPr>
        <w:t xml:space="preserve"> (</w:t>
      </w:r>
      <w:r w:rsidRPr="00172E83">
        <w:rPr>
          <w:color w:val="000000" w:themeColor="text1"/>
          <w:lang w:val="en-US"/>
        </w:rPr>
        <w:t>2011</w:t>
      </w:r>
      <w:r w:rsidR="00BC3D3E" w:rsidRPr="00172E83">
        <w:rPr>
          <w:color w:val="000000" w:themeColor="text1"/>
          <w:lang w:val="en-US"/>
        </w:rPr>
        <w:t>):</w:t>
      </w:r>
      <w:r w:rsidRPr="00172E83">
        <w:rPr>
          <w:color w:val="000000" w:themeColor="text1"/>
          <w:lang w:val="en-US"/>
        </w:rPr>
        <w:t xml:space="preserve"> </w:t>
      </w:r>
      <w:r w:rsidRPr="00172E83">
        <w:rPr>
          <w:i/>
          <w:color w:val="000000" w:themeColor="text1"/>
          <w:lang w:val="en-US"/>
        </w:rPr>
        <w:t>Financial Liberalization and Economic Performance: Brazil at Crossroads</w:t>
      </w:r>
      <w:r w:rsidR="00BC3D3E" w:rsidRPr="00172E83">
        <w:rPr>
          <w:color w:val="000000" w:themeColor="text1"/>
          <w:lang w:val="en-US"/>
        </w:rPr>
        <w:t xml:space="preserve">, </w:t>
      </w:r>
      <w:r w:rsidRPr="00172E83">
        <w:rPr>
          <w:color w:val="000000" w:themeColor="text1"/>
          <w:lang w:val="en-US"/>
        </w:rPr>
        <w:t>London: Routledge.</w:t>
      </w:r>
    </w:p>
    <w:p w14:paraId="7FC50012" w14:textId="77777777" w:rsidR="00F75B3A" w:rsidRPr="00172E83" w:rsidRDefault="00F75B3A" w:rsidP="00F75B3A">
      <w:pPr>
        <w:spacing w:after="120"/>
        <w:jc w:val="both"/>
        <w:rPr>
          <w:color w:val="000000" w:themeColor="text1"/>
          <w:lang w:val="en-US"/>
        </w:rPr>
      </w:pPr>
      <w:r w:rsidRPr="00172E83">
        <w:rPr>
          <w:color w:val="000000" w:themeColor="text1"/>
        </w:rPr>
        <w:t>Paula, L</w:t>
      </w:r>
      <w:r w:rsidR="00BC3D3E" w:rsidRPr="00172E83">
        <w:rPr>
          <w:color w:val="000000" w:themeColor="text1"/>
        </w:rPr>
        <w:t xml:space="preserve">.F. </w:t>
      </w:r>
      <w:r w:rsidR="00671F48" w:rsidRPr="00172E83">
        <w:rPr>
          <w:color w:val="000000" w:themeColor="text1"/>
        </w:rPr>
        <w:t>de</w:t>
      </w:r>
      <w:r w:rsidRPr="00172E83">
        <w:rPr>
          <w:color w:val="000000" w:themeColor="text1"/>
        </w:rPr>
        <w:t xml:space="preserve">, Prates, </w:t>
      </w:r>
      <w:r w:rsidR="00BC3D3E" w:rsidRPr="00172E83">
        <w:rPr>
          <w:color w:val="000000" w:themeColor="text1"/>
        </w:rPr>
        <w:t xml:space="preserve">D.M.  </w:t>
      </w:r>
      <w:r w:rsidR="00BC3D3E" w:rsidRPr="00172E83">
        <w:rPr>
          <w:color w:val="000000" w:themeColor="text1"/>
          <w:lang w:val="en-US"/>
        </w:rPr>
        <w:t>(</w:t>
      </w:r>
      <w:r w:rsidRPr="00172E83">
        <w:rPr>
          <w:color w:val="000000" w:themeColor="text1"/>
          <w:lang w:val="en-US"/>
        </w:rPr>
        <w:t>2013</w:t>
      </w:r>
      <w:r w:rsidR="00BC3D3E" w:rsidRPr="00172E83">
        <w:rPr>
          <w:color w:val="000000" w:themeColor="text1"/>
          <w:lang w:val="en-US"/>
        </w:rPr>
        <w:t>):</w:t>
      </w:r>
      <w:r w:rsidRPr="00172E83">
        <w:rPr>
          <w:color w:val="000000" w:themeColor="text1"/>
          <w:lang w:val="en-US"/>
        </w:rPr>
        <w:t xml:space="preserve"> Capital Account Regulation, Trade and Investment Treaties and Policy Space in Brazil, in: Gallagher, K</w:t>
      </w:r>
      <w:r w:rsidR="00BC3D3E" w:rsidRPr="00172E83">
        <w:rPr>
          <w:color w:val="000000" w:themeColor="text1"/>
          <w:lang w:val="en-US"/>
        </w:rPr>
        <w:t>.</w:t>
      </w:r>
      <w:r w:rsidRPr="00172E83">
        <w:rPr>
          <w:color w:val="000000" w:themeColor="text1"/>
          <w:lang w:val="en-US"/>
        </w:rPr>
        <w:t>, Stanley, L</w:t>
      </w:r>
      <w:r w:rsidR="00BC3D3E" w:rsidRPr="00172E83">
        <w:rPr>
          <w:color w:val="000000" w:themeColor="text1"/>
          <w:lang w:val="en-US"/>
        </w:rPr>
        <w:t>. (</w:t>
      </w:r>
      <w:r w:rsidRPr="00172E83">
        <w:rPr>
          <w:color w:val="000000" w:themeColor="text1"/>
          <w:lang w:val="en-US"/>
        </w:rPr>
        <w:t>eds</w:t>
      </w:r>
      <w:r w:rsidR="00BC3D3E" w:rsidRPr="00172E83">
        <w:rPr>
          <w:color w:val="000000" w:themeColor="text1"/>
          <w:lang w:val="en-US"/>
        </w:rPr>
        <w:t>)</w:t>
      </w:r>
      <w:r w:rsidRPr="00172E83">
        <w:rPr>
          <w:color w:val="000000" w:themeColor="text1"/>
          <w:lang w:val="en-US"/>
        </w:rPr>
        <w:t xml:space="preserve">, </w:t>
      </w:r>
      <w:r w:rsidRPr="00172E83">
        <w:rPr>
          <w:i/>
          <w:color w:val="000000" w:themeColor="text1"/>
          <w:lang w:val="en-US"/>
        </w:rPr>
        <w:t>Capital Account Regulations and the Trading System: A Compatibility Review</w:t>
      </w:r>
      <w:r w:rsidRPr="00172E83">
        <w:rPr>
          <w:color w:val="000000" w:themeColor="text1"/>
          <w:lang w:val="en-US"/>
        </w:rPr>
        <w:t>, Boston: Frederick S. Pardee Center for the Study of Longer-Range Future, 55-67</w:t>
      </w:r>
      <w:r w:rsidR="00BC3D3E" w:rsidRPr="00172E83">
        <w:rPr>
          <w:color w:val="000000" w:themeColor="text1"/>
          <w:lang w:val="en-US"/>
        </w:rPr>
        <w:t>.</w:t>
      </w:r>
      <w:r w:rsidRPr="00172E83">
        <w:rPr>
          <w:color w:val="000000" w:themeColor="text1"/>
          <w:lang w:val="en-US"/>
        </w:rPr>
        <w:t xml:space="preserve"> </w:t>
      </w:r>
    </w:p>
    <w:p w14:paraId="43A0BC68" w14:textId="77777777" w:rsidR="00AF1206" w:rsidRPr="00172E83" w:rsidRDefault="00AF1206" w:rsidP="00AF1206">
      <w:pPr>
        <w:pStyle w:val="Padro"/>
        <w:spacing w:after="120"/>
        <w:jc w:val="both"/>
        <w:rPr>
          <w:rFonts w:asciiTheme="minorHAnsi" w:hAnsiTheme="minorHAnsi"/>
          <w:color w:val="000000" w:themeColor="text1"/>
          <w:sz w:val="22"/>
          <w:szCs w:val="22"/>
          <w:lang w:val="pt-BR"/>
        </w:rPr>
      </w:pPr>
      <w:r w:rsidRPr="00172E83">
        <w:rPr>
          <w:rFonts w:asciiTheme="minorHAnsi" w:hAnsiTheme="minorHAnsi"/>
          <w:color w:val="000000" w:themeColor="text1"/>
          <w:sz w:val="22"/>
          <w:szCs w:val="22"/>
          <w:lang w:val="pt-BR"/>
        </w:rPr>
        <w:t>Paula, L</w:t>
      </w:r>
      <w:r w:rsidR="00BC3D3E" w:rsidRPr="00172E83">
        <w:rPr>
          <w:rFonts w:asciiTheme="minorHAnsi" w:hAnsiTheme="minorHAnsi"/>
          <w:color w:val="000000" w:themeColor="text1"/>
          <w:sz w:val="22"/>
          <w:szCs w:val="22"/>
          <w:lang w:val="pt-BR"/>
        </w:rPr>
        <w:t xml:space="preserve">.F. </w:t>
      </w:r>
      <w:r w:rsidRPr="00172E83">
        <w:rPr>
          <w:rFonts w:asciiTheme="minorHAnsi" w:hAnsiTheme="minorHAnsi"/>
          <w:color w:val="000000" w:themeColor="text1"/>
          <w:sz w:val="22"/>
          <w:szCs w:val="22"/>
          <w:lang w:val="pt-BR"/>
        </w:rPr>
        <w:t>de</w:t>
      </w:r>
      <w:r w:rsidR="00BC3D3E" w:rsidRPr="00172E83">
        <w:rPr>
          <w:rFonts w:asciiTheme="minorHAnsi" w:hAnsiTheme="minorHAnsi"/>
          <w:color w:val="000000" w:themeColor="text1"/>
          <w:sz w:val="22"/>
          <w:szCs w:val="22"/>
          <w:lang w:val="pt-BR"/>
        </w:rPr>
        <w:t xml:space="preserve">, </w:t>
      </w:r>
      <w:r w:rsidRPr="00172E83">
        <w:rPr>
          <w:rFonts w:asciiTheme="minorHAnsi" w:hAnsiTheme="minorHAnsi"/>
          <w:color w:val="000000" w:themeColor="text1"/>
          <w:sz w:val="22"/>
          <w:szCs w:val="22"/>
          <w:lang w:val="pt-BR"/>
        </w:rPr>
        <w:t xml:space="preserve">Oreiro, </w:t>
      </w:r>
      <w:r w:rsidR="00BC3D3E" w:rsidRPr="00172E83">
        <w:rPr>
          <w:rFonts w:asciiTheme="minorHAnsi" w:hAnsiTheme="minorHAnsi"/>
          <w:color w:val="000000" w:themeColor="text1"/>
          <w:sz w:val="22"/>
          <w:szCs w:val="22"/>
          <w:lang w:val="pt-BR"/>
        </w:rPr>
        <w:t xml:space="preserve">J.L., </w:t>
      </w:r>
      <w:r w:rsidRPr="00172E83">
        <w:rPr>
          <w:rFonts w:asciiTheme="minorHAnsi" w:hAnsiTheme="minorHAnsi"/>
          <w:color w:val="000000" w:themeColor="text1"/>
          <w:sz w:val="22"/>
          <w:szCs w:val="22"/>
          <w:lang w:val="pt-BR"/>
        </w:rPr>
        <w:t xml:space="preserve"> Silva, G</w:t>
      </w:r>
      <w:r w:rsidR="00BC3D3E" w:rsidRPr="00172E83">
        <w:rPr>
          <w:rFonts w:asciiTheme="minorHAnsi" w:hAnsiTheme="minorHAnsi"/>
          <w:color w:val="000000" w:themeColor="text1"/>
          <w:sz w:val="22"/>
          <w:szCs w:val="22"/>
          <w:lang w:val="pt-BR"/>
        </w:rPr>
        <w:t>.</w:t>
      </w:r>
      <w:r w:rsidRPr="00172E83">
        <w:rPr>
          <w:rFonts w:asciiTheme="minorHAnsi" w:hAnsiTheme="minorHAnsi"/>
          <w:color w:val="000000" w:themeColor="text1"/>
          <w:sz w:val="22"/>
          <w:szCs w:val="22"/>
          <w:lang w:val="pt-BR"/>
        </w:rPr>
        <w:t>J. C</w:t>
      </w:r>
      <w:r w:rsidR="00BC3D3E" w:rsidRPr="00172E83">
        <w:rPr>
          <w:rFonts w:asciiTheme="minorHAnsi" w:hAnsiTheme="minorHAnsi"/>
          <w:color w:val="000000" w:themeColor="text1"/>
          <w:sz w:val="22"/>
          <w:szCs w:val="22"/>
          <w:lang w:val="pt-BR"/>
        </w:rPr>
        <w:t>.</w:t>
      </w:r>
      <w:r w:rsidRPr="00172E83">
        <w:rPr>
          <w:rFonts w:asciiTheme="minorHAnsi" w:hAnsiTheme="minorHAnsi"/>
          <w:color w:val="000000" w:themeColor="text1"/>
          <w:sz w:val="22"/>
          <w:szCs w:val="22"/>
          <w:lang w:val="pt-BR"/>
        </w:rPr>
        <w:t xml:space="preserve"> da (2003): Fluxos e controle de capitais no Brasil: avaliação e proposição de política, in: Sicsú, J</w:t>
      </w:r>
      <w:r w:rsidR="00BC3D3E" w:rsidRPr="00172E83">
        <w:rPr>
          <w:rFonts w:asciiTheme="minorHAnsi" w:hAnsiTheme="minorHAnsi"/>
          <w:color w:val="000000" w:themeColor="text1"/>
          <w:sz w:val="22"/>
          <w:szCs w:val="22"/>
          <w:lang w:val="pt-BR"/>
        </w:rPr>
        <w:t xml:space="preserve">., </w:t>
      </w:r>
      <w:r w:rsidRPr="00172E83">
        <w:rPr>
          <w:rFonts w:asciiTheme="minorHAnsi" w:hAnsiTheme="minorHAnsi"/>
          <w:color w:val="000000" w:themeColor="text1"/>
          <w:sz w:val="22"/>
          <w:szCs w:val="22"/>
          <w:lang w:val="pt-BR"/>
        </w:rPr>
        <w:t>Oreiro, J</w:t>
      </w:r>
      <w:r w:rsidR="00BC3D3E" w:rsidRPr="00172E83">
        <w:rPr>
          <w:rFonts w:asciiTheme="minorHAnsi" w:hAnsiTheme="minorHAnsi"/>
          <w:color w:val="000000" w:themeColor="text1"/>
          <w:sz w:val="22"/>
          <w:szCs w:val="22"/>
          <w:lang w:val="pt-BR"/>
        </w:rPr>
        <w:t xml:space="preserve">.L., </w:t>
      </w:r>
      <w:r w:rsidRPr="00172E83">
        <w:rPr>
          <w:rFonts w:asciiTheme="minorHAnsi" w:hAnsiTheme="minorHAnsi"/>
          <w:color w:val="000000" w:themeColor="text1"/>
          <w:sz w:val="22"/>
          <w:szCs w:val="22"/>
          <w:lang w:val="pt-BR"/>
        </w:rPr>
        <w:t xml:space="preserve"> Paula, L</w:t>
      </w:r>
      <w:r w:rsidR="00BC3D3E" w:rsidRPr="00172E83">
        <w:rPr>
          <w:rFonts w:asciiTheme="minorHAnsi" w:hAnsiTheme="minorHAnsi"/>
          <w:color w:val="000000" w:themeColor="text1"/>
          <w:sz w:val="22"/>
          <w:szCs w:val="22"/>
          <w:lang w:val="pt-BR"/>
        </w:rPr>
        <w:t>.F. de</w:t>
      </w:r>
      <w:r w:rsidRPr="00172E83">
        <w:rPr>
          <w:rFonts w:asciiTheme="minorHAnsi" w:hAnsiTheme="minorHAnsi"/>
          <w:color w:val="000000" w:themeColor="text1"/>
          <w:sz w:val="22"/>
          <w:szCs w:val="22"/>
          <w:lang w:val="pt-BR"/>
        </w:rPr>
        <w:t xml:space="preserve"> (eds)</w:t>
      </w:r>
      <w:r w:rsidR="00BC3D3E" w:rsidRPr="00172E83">
        <w:rPr>
          <w:rFonts w:asciiTheme="minorHAnsi" w:hAnsiTheme="minorHAnsi"/>
          <w:color w:val="000000" w:themeColor="text1"/>
          <w:sz w:val="22"/>
          <w:szCs w:val="22"/>
          <w:lang w:val="pt-BR"/>
        </w:rPr>
        <w:t>,</w:t>
      </w:r>
      <w:r w:rsidRPr="00172E83">
        <w:rPr>
          <w:rFonts w:asciiTheme="minorHAnsi" w:hAnsiTheme="minorHAnsi"/>
          <w:color w:val="000000" w:themeColor="text1"/>
          <w:sz w:val="22"/>
          <w:szCs w:val="22"/>
          <w:lang w:val="pt-BR"/>
        </w:rPr>
        <w:t xml:space="preserve"> </w:t>
      </w:r>
      <w:r w:rsidRPr="00172E83">
        <w:rPr>
          <w:rFonts w:asciiTheme="minorHAnsi" w:hAnsiTheme="minorHAnsi"/>
          <w:i/>
          <w:color w:val="000000" w:themeColor="text1"/>
          <w:sz w:val="22"/>
          <w:szCs w:val="22"/>
          <w:lang w:val="pt-BR"/>
        </w:rPr>
        <w:t>Agenda Brasil: políticas econômicas para o crescimento com estabilidade de preços,</w:t>
      </w:r>
      <w:r w:rsidRPr="00172E83">
        <w:rPr>
          <w:rFonts w:asciiTheme="minorHAnsi" w:hAnsiTheme="minorHAnsi"/>
          <w:color w:val="000000" w:themeColor="text1"/>
          <w:sz w:val="22"/>
          <w:szCs w:val="22"/>
          <w:lang w:val="pt-BR"/>
        </w:rPr>
        <w:t xml:space="preserve"> Barueri/São Paulo, Editora Manole</w:t>
      </w:r>
      <w:r w:rsidR="00BC3D3E" w:rsidRPr="00172E83">
        <w:rPr>
          <w:rFonts w:asciiTheme="minorHAnsi" w:hAnsiTheme="minorHAnsi"/>
          <w:color w:val="000000" w:themeColor="text1"/>
          <w:sz w:val="22"/>
          <w:szCs w:val="22"/>
          <w:lang w:val="pt-BR"/>
        </w:rPr>
        <w:t xml:space="preserve">, </w:t>
      </w:r>
      <w:r w:rsidR="00745578" w:rsidRPr="00172E83">
        <w:rPr>
          <w:rFonts w:asciiTheme="minorHAnsi" w:hAnsiTheme="minorHAnsi"/>
          <w:color w:val="000000" w:themeColor="text1"/>
          <w:sz w:val="22"/>
          <w:szCs w:val="22"/>
          <w:lang w:val="pt-BR"/>
        </w:rPr>
        <w:t>65-116.</w:t>
      </w:r>
    </w:p>
    <w:p w14:paraId="0868C404" w14:textId="77777777" w:rsidR="00CA2CE5" w:rsidRPr="00172E83" w:rsidRDefault="00F75B3A" w:rsidP="00EB0306">
      <w:pPr>
        <w:spacing w:after="120"/>
        <w:rPr>
          <w:bCs/>
          <w:color w:val="000000" w:themeColor="text1"/>
          <w:lang w:val="en-GB"/>
        </w:rPr>
      </w:pPr>
      <w:r w:rsidRPr="00172E83">
        <w:rPr>
          <w:bCs/>
          <w:color w:val="000000" w:themeColor="text1"/>
          <w:lang w:val="en-GB"/>
        </w:rPr>
        <w:t>Reinhart, C</w:t>
      </w:r>
      <w:r w:rsidR="0094622B" w:rsidRPr="00172E83">
        <w:rPr>
          <w:bCs/>
          <w:color w:val="000000" w:themeColor="text1"/>
          <w:lang w:val="en-GB"/>
        </w:rPr>
        <w:t>., Smith, T.</w:t>
      </w:r>
      <w:r w:rsidRPr="00172E83">
        <w:rPr>
          <w:bCs/>
          <w:color w:val="000000" w:themeColor="text1"/>
          <w:lang w:val="en-GB"/>
        </w:rPr>
        <w:t xml:space="preserve"> (1998): Too Much of a Good Thing: The Macroeconomic Effects of Taxing Capital Inflows, in</w:t>
      </w:r>
      <w:r w:rsidR="0094622B" w:rsidRPr="00172E83">
        <w:rPr>
          <w:bCs/>
          <w:color w:val="000000" w:themeColor="text1"/>
          <w:lang w:val="en-GB"/>
        </w:rPr>
        <w:t>:</w:t>
      </w:r>
      <w:r w:rsidRPr="00172E83">
        <w:rPr>
          <w:bCs/>
          <w:color w:val="000000" w:themeColor="text1"/>
          <w:lang w:val="en-GB"/>
        </w:rPr>
        <w:t xml:space="preserve"> Glick, R</w:t>
      </w:r>
      <w:r w:rsidR="0094622B" w:rsidRPr="00172E83">
        <w:rPr>
          <w:bCs/>
          <w:color w:val="000000" w:themeColor="text1"/>
          <w:lang w:val="en-GB"/>
        </w:rPr>
        <w:t>.</w:t>
      </w:r>
      <w:r w:rsidRPr="00172E83">
        <w:rPr>
          <w:bCs/>
          <w:color w:val="000000" w:themeColor="text1"/>
          <w:lang w:val="en-GB"/>
        </w:rPr>
        <w:t xml:space="preserve"> (ed)</w:t>
      </w:r>
      <w:r w:rsidR="0094622B" w:rsidRPr="00172E83">
        <w:rPr>
          <w:bCs/>
          <w:color w:val="000000" w:themeColor="text1"/>
          <w:lang w:val="en-GB"/>
        </w:rPr>
        <w:t xml:space="preserve">, </w:t>
      </w:r>
      <w:r w:rsidRPr="00172E83">
        <w:rPr>
          <w:bCs/>
          <w:color w:val="000000" w:themeColor="text1"/>
          <w:lang w:val="en-GB"/>
        </w:rPr>
        <w:t>Managing Capital Flows and Exchange Rates: Perspectives from the Pacific</w:t>
      </w:r>
      <w:r w:rsidR="0094622B" w:rsidRPr="00172E83">
        <w:rPr>
          <w:bCs/>
          <w:color w:val="000000" w:themeColor="text1"/>
          <w:lang w:val="en-GB"/>
        </w:rPr>
        <w:t xml:space="preserve"> </w:t>
      </w:r>
      <w:r w:rsidRPr="00172E83">
        <w:rPr>
          <w:bCs/>
          <w:color w:val="000000" w:themeColor="text1"/>
          <w:lang w:val="en-GB"/>
        </w:rPr>
        <w:t>Basin</w:t>
      </w:r>
      <w:r w:rsidR="0094622B" w:rsidRPr="00172E83">
        <w:rPr>
          <w:bCs/>
          <w:color w:val="000000" w:themeColor="text1"/>
          <w:lang w:val="en-GB"/>
        </w:rPr>
        <w:t>, C</w:t>
      </w:r>
      <w:r w:rsidRPr="00172E83">
        <w:rPr>
          <w:bCs/>
          <w:color w:val="000000" w:themeColor="text1"/>
          <w:lang w:val="en-GB"/>
        </w:rPr>
        <w:t>ambridge: Cambridge University Press</w:t>
      </w:r>
      <w:r w:rsidR="0094622B" w:rsidRPr="00172E83">
        <w:rPr>
          <w:bCs/>
          <w:color w:val="000000" w:themeColor="text1"/>
          <w:lang w:val="en-GB"/>
        </w:rPr>
        <w:t>,</w:t>
      </w:r>
      <w:r w:rsidR="00CA2CE5" w:rsidRPr="00172E83">
        <w:rPr>
          <w:bCs/>
          <w:color w:val="000000" w:themeColor="text1"/>
          <w:lang w:val="en-GB"/>
        </w:rPr>
        <w:t xml:space="preserve"> 436-464.</w:t>
      </w:r>
    </w:p>
    <w:p w14:paraId="363485F3" w14:textId="77777777" w:rsidR="00EB0306" w:rsidRPr="00172E83" w:rsidRDefault="00EB0306" w:rsidP="00EB0306">
      <w:pPr>
        <w:spacing w:after="120"/>
        <w:rPr>
          <w:color w:val="000000" w:themeColor="text1"/>
          <w:lang w:val="en-US"/>
        </w:rPr>
      </w:pPr>
      <w:r w:rsidRPr="00172E83">
        <w:rPr>
          <w:color w:val="000000" w:themeColor="text1"/>
          <w:lang w:val="en-US"/>
        </w:rPr>
        <w:t>Rey, H.  (2013)</w:t>
      </w:r>
      <w:r w:rsidR="0094622B" w:rsidRPr="00172E83">
        <w:rPr>
          <w:color w:val="000000" w:themeColor="text1"/>
          <w:lang w:val="en-US"/>
        </w:rPr>
        <w:t>:</w:t>
      </w:r>
      <w:r w:rsidRPr="00172E83">
        <w:rPr>
          <w:color w:val="000000" w:themeColor="text1"/>
          <w:lang w:val="en-US"/>
        </w:rPr>
        <w:t xml:space="preserve"> </w:t>
      </w:r>
      <w:r w:rsidRPr="00172E83">
        <w:rPr>
          <w:i/>
          <w:color w:val="000000" w:themeColor="text1"/>
          <w:lang w:val="en-US"/>
        </w:rPr>
        <w:t>Dilemma not Trilemma: The Global Financial Cycle and Monetary Policy Independence</w:t>
      </w:r>
      <w:r w:rsidRPr="00172E83">
        <w:rPr>
          <w:color w:val="000000" w:themeColor="text1"/>
          <w:lang w:val="en-US"/>
        </w:rPr>
        <w:t>, London Business School, CEPR and NBER, Jackson Hole Symposium</w:t>
      </w:r>
      <w:r w:rsidR="0094622B" w:rsidRPr="00172E83">
        <w:rPr>
          <w:color w:val="000000" w:themeColor="text1"/>
          <w:lang w:val="en-US"/>
        </w:rPr>
        <w:t>.</w:t>
      </w:r>
    </w:p>
    <w:p w14:paraId="18039379" w14:textId="77777777" w:rsidR="00F75B3A" w:rsidRPr="00172E83" w:rsidRDefault="00F75B3A" w:rsidP="00F75B3A">
      <w:pPr>
        <w:spacing w:after="120"/>
        <w:jc w:val="both"/>
        <w:rPr>
          <w:color w:val="000000" w:themeColor="text1"/>
          <w:lang w:val="en-US"/>
        </w:rPr>
      </w:pPr>
      <w:r w:rsidRPr="00172E83">
        <w:rPr>
          <w:color w:val="000000" w:themeColor="text1"/>
          <w:lang w:val="en-US"/>
        </w:rPr>
        <w:t>Rodrik, D</w:t>
      </w:r>
      <w:r w:rsidR="0094622B" w:rsidRPr="00172E83">
        <w:rPr>
          <w:color w:val="000000" w:themeColor="text1"/>
          <w:lang w:val="en-US"/>
        </w:rPr>
        <w:t>. (</w:t>
      </w:r>
      <w:r w:rsidRPr="00172E83">
        <w:rPr>
          <w:color w:val="000000" w:themeColor="text1"/>
          <w:lang w:val="en-US"/>
        </w:rPr>
        <w:t>2006</w:t>
      </w:r>
      <w:r w:rsidR="0094622B" w:rsidRPr="00172E83">
        <w:rPr>
          <w:color w:val="000000" w:themeColor="text1"/>
          <w:lang w:val="en-US"/>
        </w:rPr>
        <w:t>):</w:t>
      </w:r>
      <w:r w:rsidRPr="00172E83">
        <w:rPr>
          <w:color w:val="000000" w:themeColor="text1"/>
          <w:lang w:val="en-US"/>
        </w:rPr>
        <w:t xml:space="preserve"> The Social Cost of Foreign Exchange Reserves</w:t>
      </w:r>
      <w:r w:rsidR="0094622B" w:rsidRPr="00172E83">
        <w:rPr>
          <w:color w:val="000000" w:themeColor="text1"/>
          <w:lang w:val="en-US"/>
        </w:rPr>
        <w:t xml:space="preserve">, in: </w:t>
      </w:r>
      <w:r w:rsidRPr="00172E83">
        <w:rPr>
          <w:i/>
          <w:color w:val="000000" w:themeColor="text1"/>
          <w:lang w:val="en-US"/>
        </w:rPr>
        <w:t>International Economic Journal</w:t>
      </w:r>
      <w:r w:rsidR="0094622B" w:rsidRPr="00172E83">
        <w:rPr>
          <w:color w:val="000000" w:themeColor="text1"/>
          <w:lang w:val="en-US"/>
        </w:rPr>
        <w:t xml:space="preserve">, </w:t>
      </w:r>
      <w:r w:rsidRPr="00172E83">
        <w:rPr>
          <w:color w:val="000000" w:themeColor="text1"/>
          <w:lang w:val="en-US"/>
        </w:rPr>
        <w:t>(20)</w:t>
      </w:r>
      <w:r w:rsidR="0094622B" w:rsidRPr="00172E83">
        <w:rPr>
          <w:color w:val="000000" w:themeColor="text1"/>
          <w:lang w:val="en-US"/>
        </w:rPr>
        <w:t xml:space="preserve">3, </w:t>
      </w:r>
      <w:r w:rsidR="00745578" w:rsidRPr="00172E83">
        <w:rPr>
          <w:rStyle w:val="apple-converted-space"/>
          <w:rFonts w:ascii="Arial" w:hAnsi="Arial" w:cs="Arial"/>
          <w:color w:val="000000" w:themeColor="text1"/>
          <w:sz w:val="20"/>
          <w:szCs w:val="20"/>
          <w:shd w:val="clear" w:color="auto" w:fill="FFFFFF"/>
          <w:lang w:val="en-US"/>
        </w:rPr>
        <w:t> </w:t>
      </w:r>
      <w:r w:rsidR="00745578" w:rsidRPr="00172E83">
        <w:rPr>
          <w:rFonts w:ascii="Arial" w:hAnsi="Arial" w:cs="Arial"/>
          <w:color w:val="000000" w:themeColor="text1"/>
          <w:sz w:val="20"/>
          <w:szCs w:val="20"/>
          <w:shd w:val="clear" w:color="auto" w:fill="FFFFFF"/>
          <w:lang w:val="en-US"/>
        </w:rPr>
        <w:t>253-266</w:t>
      </w:r>
      <w:r w:rsidR="00745578" w:rsidRPr="00172E83">
        <w:rPr>
          <w:color w:val="000000" w:themeColor="text1"/>
          <w:lang w:val="en-US"/>
        </w:rPr>
        <w:t>.</w:t>
      </w:r>
    </w:p>
    <w:p w14:paraId="5C3D346A" w14:textId="77777777" w:rsidR="00F75B3A" w:rsidRPr="00172E83" w:rsidRDefault="00F75B3A" w:rsidP="00F75B3A">
      <w:pPr>
        <w:spacing w:after="120"/>
        <w:jc w:val="both"/>
        <w:rPr>
          <w:color w:val="000000" w:themeColor="text1"/>
          <w:lang w:val="en-US"/>
        </w:rPr>
      </w:pPr>
      <w:r w:rsidRPr="00172E83">
        <w:rPr>
          <w:color w:val="000000" w:themeColor="text1"/>
          <w:lang w:val="en-US"/>
        </w:rPr>
        <w:t>Rodrik, D</w:t>
      </w:r>
      <w:r w:rsidR="0094622B" w:rsidRPr="00172E83">
        <w:rPr>
          <w:color w:val="000000" w:themeColor="text1"/>
          <w:lang w:val="en-US"/>
        </w:rPr>
        <w:t>. (</w:t>
      </w:r>
      <w:r w:rsidRPr="00172E83">
        <w:rPr>
          <w:color w:val="000000" w:themeColor="text1"/>
          <w:lang w:val="en-US"/>
        </w:rPr>
        <w:t>2010</w:t>
      </w:r>
      <w:r w:rsidR="0094622B" w:rsidRPr="00172E83">
        <w:rPr>
          <w:color w:val="000000" w:themeColor="text1"/>
          <w:lang w:val="en-US"/>
        </w:rPr>
        <w:t>):</w:t>
      </w:r>
      <w:r w:rsidRPr="00172E83">
        <w:rPr>
          <w:color w:val="000000" w:themeColor="text1"/>
          <w:lang w:val="en-US"/>
        </w:rPr>
        <w:t xml:space="preserve"> The End of an Era in Finance?, in: </w:t>
      </w:r>
      <w:r w:rsidRPr="00172E83">
        <w:rPr>
          <w:i/>
          <w:color w:val="000000" w:themeColor="text1"/>
          <w:lang w:val="en-US"/>
        </w:rPr>
        <w:t>Project Syndicate</w:t>
      </w:r>
      <w:r w:rsidRPr="00172E83">
        <w:rPr>
          <w:color w:val="000000" w:themeColor="text1"/>
          <w:lang w:val="en-US"/>
        </w:rPr>
        <w:t xml:space="preserve">, </w:t>
      </w:r>
      <w:r w:rsidR="0094622B" w:rsidRPr="00172E83">
        <w:rPr>
          <w:color w:val="000000" w:themeColor="text1"/>
          <w:lang w:val="en-US"/>
        </w:rPr>
        <w:t>URL</w:t>
      </w:r>
      <w:r w:rsidRPr="00172E83">
        <w:rPr>
          <w:color w:val="000000" w:themeColor="text1"/>
          <w:lang w:val="en-US"/>
        </w:rPr>
        <w:t xml:space="preserve">: </w:t>
      </w:r>
      <w:hyperlink r:id="rId25" w:history="1">
        <w:r w:rsidRPr="00172E83">
          <w:rPr>
            <w:rStyle w:val="Hyperlink"/>
            <w:color w:val="000000" w:themeColor="text1"/>
            <w:lang w:val="en-US"/>
          </w:rPr>
          <w:t>http://bit.ly/XuxYxl</w:t>
        </w:r>
      </w:hyperlink>
      <w:r w:rsidR="0094622B" w:rsidRPr="00172E83">
        <w:rPr>
          <w:color w:val="000000" w:themeColor="text1"/>
          <w:lang w:val="en-US"/>
        </w:rPr>
        <w:t>.</w:t>
      </w:r>
    </w:p>
    <w:p w14:paraId="3310ADD6" w14:textId="77777777" w:rsidR="00F75B3A" w:rsidRPr="00172E83" w:rsidRDefault="00F75B3A" w:rsidP="00F75B3A">
      <w:pPr>
        <w:spacing w:after="120"/>
        <w:rPr>
          <w:color w:val="000000" w:themeColor="text1"/>
          <w:lang w:val="en-US"/>
        </w:rPr>
      </w:pPr>
      <w:r w:rsidRPr="00172E83">
        <w:rPr>
          <w:bCs/>
          <w:color w:val="000000" w:themeColor="text1"/>
          <w:lang w:val="sv-SE"/>
        </w:rPr>
        <w:t>Singh, A</w:t>
      </w:r>
      <w:r w:rsidR="0094622B" w:rsidRPr="00172E83">
        <w:rPr>
          <w:bCs/>
          <w:color w:val="000000" w:themeColor="text1"/>
          <w:lang w:val="sv-SE"/>
        </w:rPr>
        <w:t xml:space="preserve">., </w:t>
      </w:r>
      <w:r w:rsidRPr="00172E83">
        <w:rPr>
          <w:bCs/>
          <w:color w:val="000000" w:themeColor="text1"/>
          <w:lang w:val="sv-SE"/>
        </w:rPr>
        <w:t>Belaisch, A</w:t>
      </w:r>
      <w:r w:rsidR="0094622B" w:rsidRPr="00172E83">
        <w:rPr>
          <w:bCs/>
          <w:color w:val="000000" w:themeColor="text1"/>
          <w:lang w:val="sv-SE"/>
        </w:rPr>
        <w:t xml:space="preserve">., </w:t>
      </w:r>
      <w:r w:rsidRPr="00172E83">
        <w:rPr>
          <w:bCs/>
          <w:color w:val="000000" w:themeColor="text1"/>
          <w:lang w:val="sv-SE"/>
        </w:rPr>
        <w:t>Collyns, C</w:t>
      </w:r>
      <w:r w:rsidR="0094622B" w:rsidRPr="00172E83">
        <w:rPr>
          <w:bCs/>
          <w:color w:val="000000" w:themeColor="text1"/>
          <w:lang w:val="sv-SE"/>
        </w:rPr>
        <w:t xml:space="preserve">., </w:t>
      </w:r>
      <w:r w:rsidRPr="00172E83">
        <w:rPr>
          <w:bCs/>
          <w:color w:val="000000" w:themeColor="text1"/>
          <w:lang w:val="sv-SE"/>
        </w:rPr>
        <w:t>De Masi, P</w:t>
      </w:r>
      <w:r w:rsidR="0094622B" w:rsidRPr="00172E83">
        <w:rPr>
          <w:bCs/>
          <w:color w:val="000000" w:themeColor="text1"/>
          <w:lang w:val="sv-SE"/>
        </w:rPr>
        <w:t xml:space="preserve">., </w:t>
      </w:r>
      <w:r w:rsidRPr="00172E83">
        <w:rPr>
          <w:bCs/>
          <w:color w:val="000000" w:themeColor="text1"/>
          <w:lang w:val="sv-SE"/>
        </w:rPr>
        <w:t>Krieger, R</w:t>
      </w:r>
      <w:r w:rsidR="0094622B" w:rsidRPr="00172E83">
        <w:rPr>
          <w:bCs/>
          <w:color w:val="000000" w:themeColor="text1"/>
          <w:lang w:val="sv-SE"/>
        </w:rPr>
        <w:t xml:space="preserve">., </w:t>
      </w:r>
      <w:r w:rsidRPr="00172E83">
        <w:rPr>
          <w:bCs/>
          <w:color w:val="000000" w:themeColor="text1"/>
          <w:lang w:val="sv-SE"/>
        </w:rPr>
        <w:t>Meredith,</w:t>
      </w:r>
      <w:r w:rsidRPr="00172E83">
        <w:rPr>
          <w:color w:val="000000" w:themeColor="text1"/>
          <w:lang w:val="sv-SE"/>
        </w:rPr>
        <w:t xml:space="preserve"> G</w:t>
      </w:r>
      <w:r w:rsidR="0094622B" w:rsidRPr="00172E83">
        <w:rPr>
          <w:color w:val="000000" w:themeColor="text1"/>
          <w:lang w:val="sv-SE"/>
        </w:rPr>
        <w:t xml:space="preserve">., </w:t>
      </w:r>
      <w:r w:rsidRPr="00172E83">
        <w:rPr>
          <w:color w:val="000000" w:themeColor="text1"/>
          <w:lang w:val="sv-SE"/>
        </w:rPr>
        <w:t>Rennhack, R</w:t>
      </w:r>
      <w:r w:rsidR="0094622B" w:rsidRPr="00172E83">
        <w:rPr>
          <w:color w:val="000000" w:themeColor="text1"/>
          <w:lang w:val="sv-SE"/>
        </w:rPr>
        <w:t>.</w:t>
      </w:r>
      <w:r w:rsidRPr="00172E83">
        <w:rPr>
          <w:color w:val="000000" w:themeColor="text1"/>
          <w:lang w:val="sv-SE"/>
        </w:rPr>
        <w:t xml:space="preserve"> </w:t>
      </w:r>
      <w:r w:rsidRPr="00172E83">
        <w:rPr>
          <w:color w:val="000000" w:themeColor="text1"/>
          <w:lang w:val="en-GB"/>
        </w:rPr>
        <w:t xml:space="preserve">(2005): Stabilization and Reform in Latin America: A Macroeconomic Perspective of the Experience Since the 1990s. </w:t>
      </w:r>
      <w:r w:rsidRPr="00172E83">
        <w:rPr>
          <w:color w:val="000000" w:themeColor="text1"/>
          <w:lang w:val="it-IT"/>
        </w:rPr>
        <w:t>IMF Occasional Paper</w:t>
      </w:r>
      <w:r w:rsidR="0094622B" w:rsidRPr="00172E83">
        <w:rPr>
          <w:color w:val="000000" w:themeColor="text1"/>
          <w:lang w:val="it-IT"/>
        </w:rPr>
        <w:t>,</w:t>
      </w:r>
      <w:r w:rsidRPr="00172E83">
        <w:rPr>
          <w:color w:val="000000" w:themeColor="text1"/>
          <w:lang w:val="it-IT"/>
        </w:rPr>
        <w:t xml:space="preserve"> No. 238</w:t>
      </w:r>
      <w:r w:rsidR="0094622B" w:rsidRPr="00172E83">
        <w:rPr>
          <w:color w:val="000000" w:themeColor="text1"/>
          <w:lang w:val="it-IT"/>
        </w:rPr>
        <w:t xml:space="preserve">, </w:t>
      </w:r>
      <w:r w:rsidRPr="00172E83">
        <w:rPr>
          <w:color w:val="000000" w:themeColor="text1"/>
          <w:lang w:val="it-IT"/>
        </w:rPr>
        <w:t xml:space="preserve">URL: </w:t>
      </w:r>
      <w:hyperlink r:id="rId26" w:history="1">
        <w:r w:rsidRPr="00172E83">
          <w:rPr>
            <w:rStyle w:val="Hyperlink"/>
            <w:color w:val="000000" w:themeColor="text1"/>
            <w:lang w:val="it-IT"/>
          </w:rPr>
          <w:t>http://www.imf.org/external/pubs/ft/op/238/index.htm</w:t>
        </w:r>
      </w:hyperlink>
      <w:r w:rsidR="0094622B" w:rsidRPr="00172E83">
        <w:rPr>
          <w:rStyle w:val="Hyperlink"/>
          <w:color w:val="000000" w:themeColor="text1"/>
          <w:lang w:val="it-IT"/>
        </w:rPr>
        <w:t>.</w:t>
      </w:r>
    </w:p>
    <w:p w14:paraId="21E9B0BA" w14:textId="77777777" w:rsidR="00CA2CE5" w:rsidRPr="00172E83" w:rsidRDefault="00CA2CE5" w:rsidP="00F75B3A">
      <w:pPr>
        <w:spacing w:after="120"/>
        <w:jc w:val="both"/>
        <w:rPr>
          <w:rFonts w:cstheme="minorHAnsi"/>
          <w:color w:val="000000" w:themeColor="text1"/>
          <w:lang w:val="en-US"/>
        </w:rPr>
      </w:pPr>
      <w:r w:rsidRPr="00172E83">
        <w:rPr>
          <w:rFonts w:cstheme="minorHAnsi"/>
          <w:color w:val="000000" w:themeColor="text1"/>
          <w:lang w:val="en-US"/>
        </w:rPr>
        <w:t xml:space="preserve">Williamson, John, Stephany Griffith-Jones, and Ricardo Gottschalk. 2003. </w:t>
      </w:r>
      <w:r w:rsidRPr="00172E83">
        <w:rPr>
          <w:rFonts w:cstheme="minorHAnsi"/>
          <w:i/>
          <w:color w:val="000000" w:themeColor="text1"/>
          <w:lang w:val="en-US"/>
        </w:rPr>
        <w:t>Should Capital Controls Have a Place in the Future International Monetary System?</w:t>
      </w:r>
      <w:r w:rsidRPr="00172E83">
        <w:rPr>
          <w:rFonts w:cstheme="minorHAnsi"/>
          <w:color w:val="000000" w:themeColor="text1"/>
          <w:lang w:val="en-US"/>
        </w:rPr>
        <w:t xml:space="preserve">, at: </w:t>
      </w:r>
      <w:hyperlink r:id="rId27" w:history="1">
        <w:r w:rsidRPr="00172E83">
          <w:rPr>
            <w:rStyle w:val="Hyperlink"/>
            <w:rFonts w:cstheme="minorHAnsi"/>
            <w:color w:val="000000" w:themeColor="text1"/>
            <w:lang w:val="en-US"/>
          </w:rPr>
          <w:t>http://bit.ly/12h2wlK</w:t>
        </w:r>
      </w:hyperlink>
      <w:r w:rsidRPr="00172E83">
        <w:rPr>
          <w:rFonts w:cstheme="minorHAnsi"/>
          <w:color w:val="000000" w:themeColor="text1"/>
          <w:lang w:val="en-US"/>
        </w:rPr>
        <w:t xml:space="preserve"> (last access 10/12/2012).</w:t>
      </w:r>
    </w:p>
    <w:p w14:paraId="79C949D5" w14:textId="0D69012F" w:rsidR="00523A8B" w:rsidRPr="00172E83" w:rsidRDefault="00C06640" w:rsidP="00F75B3A">
      <w:pPr>
        <w:spacing w:after="120"/>
        <w:jc w:val="both"/>
        <w:rPr>
          <w:rFonts w:cstheme="minorHAnsi"/>
          <w:color w:val="000000" w:themeColor="text1"/>
          <w:lang w:val="en-US"/>
        </w:rPr>
      </w:pPr>
      <w:r w:rsidRPr="00172E83">
        <w:rPr>
          <w:rFonts w:cstheme="minorHAnsi"/>
          <w:color w:val="000000" w:themeColor="text1"/>
          <w:lang w:val="en-US"/>
        </w:rPr>
        <w:t xml:space="preserve">World Bank (2001): Finance for Growth – Policy Choices in a Volatile World, in: </w:t>
      </w:r>
      <w:r w:rsidRPr="00172E83">
        <w:rPr>
          <w:rFonts w:cstheme="minorHAnsi"/>
          <w:i/>
          <w:color w:val="000000" w:themeColor="text1"/>
          <w:lang w:val="en-US"/>
        </w:rPr>
        <w:t>World Bank Research Report</w:t>
      </w:r>
      <w:r w:rsidRPr="00172E83">
        <w:rPr>
          <w:rFonts w:cstheme="minorHAnsi"/>
          <w:color w:val="000000" w:themeColor="text1"/>
          <w:lang w:val="en-US"/>
        </w:rPr>
        <w:t>, Washington D.C./Oxford University Press.</w:t>
      </w:r>
    </w:p>
    <w:p w14:paraId="7344EBEC" w14:textId="40DB1DC9" w:rsidR="00523A8B" w:rsidRPr="00172E83" w:rsidRDefault="00523A8B" w:rsidP="003E337E">
      <w:pPr>
        <w:rPr>
          <w:rFonts w:cstheme="minorHAnsi"/>
          <w:color w:val="000000" w:themeColor="text1"/>
          <w:lang w:val="en-US"/>
        </w:rPr>
      </w:pPr>
    </w:p>
    <w:sectPr w:rsidR="00523A8B" w:rsidRPr="00172E83" w:rsidSect="00383E55">
      <w:headerReference w:type="default" r:id="rId28"/>
      <w:footnotePr>
        <w:numFmt w:val="chicago"/>
      </w:footnotePr>
      <w:pgSz w:w="11906" w:h="16838"/>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EBD4E" w14:textId="77777777" w:rsidR="00CF6402" w:rsidRDefault="00CF6402">
      <w:pPr>
        <w:spacing w:after="0" w:line="240" w:lineRule="auto"/>
      </w:pPr>
      <w:r>
        <w:separator/>
      </w:r>
    </w:p>
  </w:endnote>
  <w:endnote w:type="continuationSeparator" w:id="0">
    <w:p w14:paraId="31CE9A96" w14:textId="77777777" w:rsidR="00CF6402" w:rsidRDefault="00CF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imes-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7B076" w14:textId="77777777" w:rsidR="00CF6402" w:rsidRDefault="00CF6402">
      <w:r>
        <w:separator/>
      </w:r>
    </w:p>
  </w:footnote>
  <w:footnote w:type="continuationSeparator" w:id="0">
    <w:p w14:paraId="14F7FC92" w14:textId="77777777" w:rsidR="00CF6402" w:rsidRDefault="00CF6402">
      <w:r>
        <w:continuationSeparator/>
      </w:r>
    </w:p>
  </w:footnote>
  <w:footnote w:id="1">
    <w:p w14:paraId="5B9FB9A0" w14:textId="0BF637E3" w:rsidR="006D09DE" w:rsidRPr="006D09DE" w:rsidRDefault="006D09DE" w:rsidP="006D09DE">
      <w:pPr>
        <w:spacing w:after="40" w:line="240" w:lineRule="auto"/>
        <w:rPr>
          <w:rFonts w:ascii="Times New Roman" w:eastAsia="Times New Roman" w:hAnsi="Times New Roman" w:cs="Times New Roman"/>
          <w:color w:val="000000"/>
          <w:sz w:val="20"/>
          <w:szCs w:val="20"/>
          <w:lang w:val="en-US" w:eastAsia="ar-SA"/>
        </w:rPr>
      </w:pPr>
      <w:r>
        <w:rPr>
          <w:rStyle w:val="Funotenzeichen"/>
        </w:rPr>
        <w:footnoteRef/>
      </w:r>
      <w:r w:rsidRPr="006D09DE">
        <w:rPr>
          <w:lang w:val="en-US"/>
        </w:rPr>
        <w:t xml:space="preserve"> </w:t>
      </w:r>
      <w:r>
        <w:rPr>
          <w:lang w:val="en-US"/>
        </w:rPr>
        <w:t xml:space="preserve"> </w:t>
      </w:r>
      <w:r w:rsidRPr="006D09DE">
        <w:rPr>
          <w:rFonts w:ascii="Times New Roman" w:eastAsia="Times New Roman" w:hAnsi="Times New Roman" w:cs="Times New Roman"/>
          <w:color w:val="000000"/>
          <w:sz w:val="20"/>
          <w:szCs w:val="20"/>
          <w:lang w:val="en-US" w:eastAsia="ar-SA"/>
        </w:rPr>
        <w:t>We thank the anonymous referees and Torsten</w:t>
      </w:r>
      <w:r>
        <w:rPr>
          <w:rFonts w:ascii="Times New Roman" w:eastAsia="Times New Roman" w:hAnsi="Times New Roman" w:cs="Times New Roman"/>
          <w:color w:val="000000"/>
          <w:sz w:val="20"/>
          <w:szCs w:val="20"/>
          <w:lang w:val="en-US" w:eastAsia="ar-SA"/>
        </w:rPr>
        <w:t xml:space="preserve"> Niechoj for the valuable comments.</w:t>
      </w:r>
    </w:p>
  </w:footnote>
  <w:footnote w:id="2">
    <w:p w14:paraId="399EBB53" w14:textId="77777777" w:rsidR="00EB38C0" w:rsidRPr="0035381D" w:rsidRDefault="00EB38C0" w:rsidP="006D09DE">
      <w:pPr>
        <w:pStyle w:val="Funotentext"/>
        <w:spacing w:after="40" w:line="240" w:lineRule="auto"/>
      </w:pPr>
      <w:r w:rsidRPr="0035381D">
        <w:rPr>
          <w:rStyle w:val="Funotenzeichen"/>
        </w:rPr>
        <w:t>*</w:t>
      </w:r>
      <w:r w:rsidRPr="0035381D">
        <w:t xml:space="preserve"> </w:t>
      </w:r>
      <w:r w:rsidRPr="008930A0">
        <w:rPr>
          <w:lang w:val="en-US"/>
        </w:rPr>
        <w:t>Professor of Economics at the Institute for Latin American Studies at the Freie</w:t>
      </w:r>
      <w:r>
        <w:rPr>
          <w:lang w:val="en-US"/>
        </w:rPr>
        <w:t xml:space="preserve"> </w:t>
      </w:r>
      <w:r w:rsidRPr="008930A0">
        <w:rPr>
          <w:lang w:val="en-US"/>
        </w:rPr>
        <w:t>Universität Berlin; barbara.fritz@fu-berlin.de</w:t>
      </w:r>
      <w:r w:rsidRPr="0035381D">
        <w:t xml:space="preserve"> </w:t>
      </w:r>
    </w:p>
  </w:footnote>
  <w:footnote w:id="3">
    <w:p w14:paraId="19852BE2" w14:textId="6CBAA42E" w:rsidR="00EB38C0" w:rsidRPr="00685C48" w:rsidRDefault="00EB38C0" w:rsidP="006D09DE">
      <w:pPr>
        <w:pStyle w:val="Funotentext"/>
        <w:spacing w:after="40" w:line="240" w:lineRule="auto"/>
        <w:rPr>
          <w:lang w:val="en-US"/>
        </w:rPr>
      </w:pPr>
      <w:r w:rsidRPr="0035381D">
        <w:rPr>
          <w:rStyle w:val="Funotenzeichen"/>
        </w:rPr>
        <w:t>**</w:t>
      </w:r>
      <w:r w:rsidRPr="0035381D">
        <w:t xml:space="preserve"> </w:t>
      </w:r>
      <w:r>
        <w:t xml:space="preserve">Associate </w:t>
      </w:r>
      <w:r w:rsidRPr="008930A0">
        <w:rPr>
          <w:lang w:val="en-US"/>
        </w:rPr>
        <w:t>Professor of Economics at the University of Campinas (Unicamp, Brazil) and CNPq researcher; prates@ unicamp.br.</w:t>
      </w:r>
    </w:p>
  </w:footnote>
  <w:footnote w:id="4">
    <w:p w14:paraId="3F1E830F" w14:textId="17369A4F" w:rsidR="00860C8F" w:rsidRPr="00867C66" w:rsidRDefault="00860C8F" w:rsidP="001F3680">
      <w:pPr>
        <w:pStyle w:val="Funotentext"/>
        <w:rPr>
          <w:rFonts w:asciiTheme="minorHAnsi" w:hAnsiTheme="minorHAnsi"/>
          <w:sz w:val="21"/>
          <w:szCs w:val="22"/>
          <w:lang w:val="en-US"/>
        </w:rPr>
      </w:pPr>
      <w:r w:rsidRPr="006E0BD4">
        <w:rPr>
          <w:rStyle w:val="Funotenzeichen"/>
          <w:rFonts w:asciiTheme="minorHAnsi" w:hAnsiTheme="minorHAnsi"/>
          <w:sz w:val="21"/>
          <w:szCs w:val="22"/>
        </w:rPr>
        <w:footnoteRef/>
      </w:r>
      <w:r w:rsidRPr="006E0BD4">
        <w:rPr>
          <w:rFonts w:asciiTheme="minorHAnsi" w:hAnsiTheme="minorHAnsi"/>
          <w:sz w:val="21"/>
          <w:szCs w:val="22"/>
        </w:rPr>
        <w:t xml:space="preserve"> </w:t>
      </w:r>
      <w:r w:rsidRPr="006E0BD4">
        <w:rPr>
          <w:rFonts w:asciiTheme="minorHAnsi" w:hAnsiTheme="minorHAnsi"/>
          <w:sz w:val="21"/>
          <w:szCs w:val="22"/>
          <w:lang w:val="en-US"/>
        </w:rPr>
        <w:t>BIS (2005) adopted the same classification to analyze exchange rate policies of emerging economies.</w:t>
      </w:r>
      <w:r w:rsidRPr="00867C66">
        <w:rPr>
          <w:rFonts w:asciiTheme="minorHAnsi" w:hAnsiTheme="minorHAnsi"/>
          <w:sz w:val="21"/>
          <w:szCs w:val="22"/>
          <w:lang w:val="en-US"/>
        </w:rPr>
        <w:t xml:space="preserve"> </w:t>
      </w:r>
    </w:p>
  </w:footnote>
  <w:footnote w:id="5">
    <w:p w14:paraId="28C22EAC" w14:textId="77777777" w:rsidR="00690398" w:rsidRPr="00C31EE3" w:rsidRDefault="00690398" w:rsidP="00690398">
      <w:pPr>
        <w:jc w:val="both"/>
        <w:rPr>
          <w:sz w:val="20"/>
          <w:szCs w:val="20"/>
          <w:lang w:val="en-US"/>
        </w:rPr>
      </w:pPr>
      <w:r>
        <w:rPr>
          <w:rStyle w:val="Funotenzeichen"/>
        </w:rPr>
        <w:footnoteRef/>
      </w:r>
      <w:r w:rsidRPr="00C31EE3">
        <w:rPr>
          <w:sz w:val="20"/>
          <w:szCs w:val="20"/>
          <w:lang w:val="en-US"/>
        </w:rPr>
        <w:t xml:space="preserve"> </w:t>
      </w:r>
      <w:r>
        <w:rPr>
          <w:sz w:val="20"/>
          <w:szCs w:val="20"/>
          <w:lang w:val="en-US"/>
        </w:rPr>
        <w:t>To our knowledge, there is no established concept of financial market sophistication in the academic literature. T</w:t>
      </w:r>
      <w:r w:rsidRPr="00C31EE3">
        <w:rPr>
          <w:sz w:val="20"/>
          <w:szCs w:val="20"/>
          <w:lang w:val="en-US"/>
        </w:rPr>
        <w:t>he</w:t>
      </w:r>
      <w:r>
        <w:rPr>
          <w:sz w:val="20"/>
          <w:szCs w:val="20"/>
          <w:lang w:val="en-US"/>
        </w:rPr>
        <w:t xml:space="preserve"> World Bank composes a very ample </w:t>
      </w:r>
      <w:r w:rsidRPr="00C31EE3">
        <w:rPr>
          <w:sz w:val="20"/>
          <w:szCs w:val="20"/>
          <w:lang w:val="en-US"/>
        </w:rPr>
        <w:t xml:space="preserve">indicator of financial market sophistication </w:t>
      </w:r>
      <w:r>
        <w:rPr>
          <w:sz w:val="20"/>
          <w:szCs w:val="20"/>
          <w:lang w:val="en-US"/>
        </w:rPr>
        <w:t>with the following sub-</w:t>
      </w:r>
      <w:r w:rsidRPr="00C31EE3">
        <w:rPr>
          <w:sz w:val="20"/>
          <w:szCs w:val="20"/>
          <w:lang w:val="en-US"/>
        </w:rPr>
        <w:t xml:space="preserve">indicators: (i) </w:t>
      </w:r>
      <w:r>
        <w:rPr>
          <w:sz w:val="20"/>
          <w:szCs w:val="20"/>
          <w:lang w:val="en-US"/>
        </w:rPr>
        <w:t>a</w:t>
      </w:r>
      <w:r w:rsidRPr="00C31EE3">
        <w:rPr>
          <w:sz w:val="20"/>
          <w:szCs w:val="20"/>
          <w:lang w:val="en-US"/>
        </w:rPr>
        <w:t>vailability of financial services</w:t>
      </w:r>
      <w:r>
        <w:rPr>
          <w:sz w:val="20"/>
          <w:szCs w:val="20"/>
          <w:lang w:val="en-US"/>
        </w:rPr>
        <w:t>;</w:t>
      </w:r>
      <w:r w:rsidRPr="00C31EE3">
        <w:rPr>
          <w:sz w:val="20"/>
          <w:szCs w:val="20"/>
          <w:lang w:val="en-US"/>
        </w:rPr>
        <w:t xml:space="preserve"> (ii) </w:t>
      </w:r>
      <w:r>
        <w:rPr>
          <w:sz w:val="20"/>
          <w:szCs w:val="20"/>
          <w:lang w:val="en-US"/>
        </w:rPr>
        <w:t>a</w:t>
      </w:r>
      <w:r w:rsidRPr="00C31EE3">
        <w:rPr>
          <w:sz w:val="20"/>
          <w:szCs w:val="20"/>
          <w:lang w:val="en-US"/>
        </w:rPr>
        <w:t>ffordability of financial services</w:t>
      </w:r>
      <w:r>
        <w:rPr>
          <w:sz w:val="20"/>
          <w:szCs w:val="20"/>
          <w:lang w:val="en-US"/>
        </w:rPr>
        <w:t>;</w:t>
      </w:r>
      <w:r w:rsidRPr="00C31EE3">
        <w:rPr>
          <w:sz w:val="20"/>
          <w:szCs w:val="20"/>
          <w:lang w:val="en-US"/>
        </w:rPr>
        <w:t xml:space="preserve"> (iii) </w:t>
      </w:r>
      <w:r>
        <w:rPr>
          <w:sz w:val="20"/>
          <w:szCs w:val="20"/>
          <w:lang w:val="en-US"/>
        </w:rPr>
        <w:t>f</w:t>
      </w:r>
      <w:r w:rsidRPr="00C31EE3">
        <w:rPr>
          <w:sz w:val="20"/>
          <w:szCs w:val="20"/>
          <w:lang w:val="en-US"/>
        </w:rPr>
        <w:t>inancing through local equity market</w:t>
      </w:r>
      <w:r>
        <w:rPr>
          <w:sz w:val="20"/>
          <w:szCs w:val="20"/>
          <w:lang w:val="en-US"/>
        </w:rPr>
        <w:t>s;</w:t>
      </w:r>
      <w:r w:rsidRPr="00C31EE3">
        <w:rPr>
          <w:sz w:val="20"/>
          <w:szCs w:val="20"/>
          <w:lang w:val="en-US"/>
        </w:rPr>
        <w:t xml:space="preserve"> (iv) </w:t>
      </w:r>
      <w:r>
        <w:rPr>
          <w:sz w:val="20"/>
          <w:szCs w:val="20"/>
          <w:lang w:val="en-US"/>
        </w:rPr>
        <w:t>e</w:t>
      </w:r>
      <w:r w:rsidRPr="00C31EE3">
        <w:rPr>
          <w:sz w:val="20"/>
          <w:szCs w:val="20"/>
          <w:lang w:val="en-US"/>
        </w:rPr>
        <w:t>ase of access to loans</w:t>
      </w:r>
      <w:r>
        <w:rPr>
          <w:sz w:val="20"/>
          <w:szCs w:val="20"/>
          <w:lang w:val="en-US"/>
        </w:rPr>
        <w:t>;</w:t>
      </w:r>
      <w:r w:rsidRPr="00C31EE3">
        <w:rPr>
          <w:sz w:val="20"/>
          <w:szCs w:val="20"/>
          <w:lang w:val="en-US"/>
        </w:rPr>
        <w:t xml:space="preserve"> (</w:t>
      </w:r>
      <w:r>
        <w:rPr>
          <w:sz w:val="20"/>
          <w:szCs w:val="20"/>
          <w:lang w:val="en-US"/>
        </w:rPr>
        <w:t>v</w:t>
      </w:r>
      <w:r w:rsidRPr="00C31EE3">
        <w:rPr>
          <w:sz w:val="20"/>
          <w:szCs w:val="20"/>
          <w:lang w:val="en-US"/>
        </w:rPr>
        <w:t xml:space="preserve">) </w:t>
      </w:r>
      <w:r>
        <w:rPr>
          <w:sz w:val="20"/>
          <w:szCs w:val="20"/>
          <w:lang w:val="en-US"/>
        </w:rPr>
        <w:t>s</w:t>
      </w:r>
      <w:r w:rsidRPr="00C31EE3">
        <w:rPr>
          <w:sz w:val="20"/>
          <w:szCs w:val="20"/>
          <w:lang w:val="en-US"/>
        </w:rPr>
        <w:t>oundness of banks</w:t>
      </w:r>
      <w:r>
        <w:rPr>
          <w:sz w:val="20"/>
          <w:szCs w:val="20"/>
          <w:lang w:val="en-US"/>
        </w:rPr>
        <w:t>;</w:t>
      </w:r>
      <w:r w:rsidRPr="00C31EE3">
        <w:rPr>
          <w:sz w:val="20"/>
          <w:szCs w:val="20"/>
          <w:lang w:val="en-US"/>
        </w:rPr>
        <w:t xml:space="preserve"> (</w:t>
      </w:r>
      <w:r>
        <w:rPr>
          <w:sz w:val="20"/>
          <w:szCs w:val="20"/>
          <w:lang w:val="en-US"/>
        </w:rPr>
        <w:t>vi</w:t>
      </w:r>
      <w:r w:rsidRPr="00C31EE3">
        <w:rPr>
          <w:sz w:val="20"/>
          <w:szCs w:val="20"/>
          <w:lang w:val="en-US"/>
        </w:rPr>
        <w:t xml:space="preserve">) </w:t>
      </w:r>
      <w:r>
        <w:rPr>
          <w:sz w:val="20"/>
          <w:szCs w:val="20"/>
          <w:lang w:val="en-US"/>
        </w:rPr>
        <w:t>r</w:t>
      </w:r>
      <w:r w:rsidRPr="00C31EE3">
        <w:rPr>
          <w:sz w:val="20"/>
          <w:szCs w:val="20"/>
          <w:lang w:val="en-US"/>
        </w:rPr>
        <w:t>egulation of securities exchanges</w:t>
      </w:r>
      <w:r>
        <w:rPr>
          <w:sz w:val="20"/>
          <w:szCs w:val="20"/>
          <w:lang w:val="en-US"/>
        </w:rPr>
        <w:t>;</w:t>
      </w:r>
      <w:r w:rsidRPr="00C31EE3">
        <w:rPr>
          <w:sz w:val="20"/>
          <w:szCs w:val="20"/>
          <w:lang w:val="en-US"/>
        </w:rPr>
        <w:t xml:space="preserve"> and (</w:t>
      </w:r>
      <w:r>
        <w:rPr>
          <w:sz w:val="20"/>
          <w:szCs w:val="20"/>
          <w:lang w:val="en-US"/>
        </w:rPr>
        <w:t>vii</w:t>
      </w:r>
      <w:r w:rsidRPr="00C31EE3">
        <w:rPr>
          <w:sz w:val="20"/>
          <w:szCs w:val="20"/>
          <w:lang w:val="en-US"/>
        </w:rPr>
        <w:t xml:space="preserve">) </w:t>
      </w:r>
      <w:r>
        <w:rPr>
          <w:sz w:val="20"/>
          <w:szCs w:val="20"/>
          <w:lang w:val="en-US"/>
        </w:rPr>
        <w:t>l</w:t>
      </w:r>
      <w:r w:rsidRPr="00C31EE3">
        <w:rPr>
          <w:sz w:val="20"/>
          <w:szCs w:val="20"/>
          <w:lang w:val="en-US"/>
        </w:rPr>
        <w:t>egal rights index</w:t>
      </w:r>
      <w:r>
        <w:rPr>
          <w:sz w:val="20"/>
          <w:szCs w:val="20"/>
          <w:lang w:val="en-US"/>
        </w:rPr>
        <w:t xml:space="preserve"> (see: </w:t>
      </w:r>
      <w:hyperlink r:id="rId1" w:history="1">
        <w:r w:rsidRPr="00506B62">
          <w:rPr>
            <w:rStyle w:val="Hyperlink"/>
            <w:sz w:val="20"/>
            <w:szCs w:val="20"/>
            <w:lang w:val="en-US"/>
          </w:rPr>
          <w:t>http://worldbank.270a.info/classification/indicator/GCI.8THPILLAR.XQ.html</w:t>
        </w:r>
      </w:hyperlink>
      <w:r>
        <w:rPr>
          <w:sz w:val="20"/>
          <w:szCs w:val="20"/>
          <w:lang w:val="en-US"/>
        </w:rPr>
        <w:t xml:space="preserve">). Again for the sake of operationalization, in this paper we adopt a narrow concept of financial market sophistication, which refers to the availability of liquid and deep markets with developed countries’ state-of-the art financial innovations, such as financial derivatives. </w:t>
      </w:r>
    </w:p>
  </w:footnote>
  <w:footnote w:id="6">
    <w:p w14:paraId="405856F2" w14:textId="58F36ACF" w:rsidR="00860C8F" w:rsidRPr="00867C66" w:rsidRDefault="00860C8F" w:rsidP="0025652E">
      <w:pPr>
        <w:pStyle w:val="ListaColorida-nfase11"/>
        <w:snapToGrid w:val="0"/>
        <w:spacing w:after="0" w:line="240" w:lineRule="auto"/>
        <w:ind w:left="0"/>
        <w:jc w:val="both"/>
        <w:rPr>
          <w:lang w:val="en-US"/>
        </w:rPr>
      </w:pPr>
      <w:r w:rsidRPr="00280BFD">
        <w:rPr>
          <w:rStyle w:val="Funotenzeichen"/>
          <w:sz w:val="21"/>
        </w:rPr>
        <w:footnoteRef/>
      </w:r>
      <w:r w:rsidRPr="00280BFD">
        <w:rPr>
          <w:sz w:val="21"/>
          <w:lang w:val="en-US"/>
        </w:rPr>
        <w:t xml:space="preserve"> </w:t>
      </w:r>
      <w:r w:rsidRPr="00280BFD">
        <w:rPr>
          <w:rFonts w:ascii="Calibri" w:hAnsi="Calibri"/>
          <w:sz w:val="21"/>
          <w:lang w:val="en-GB"/>
        </w:rPr>
        <w:t xml:space="preserve">In 1991 and especially in 1992, the Brazilian Central Bank launched a series of measures in order to benefit from capital inflows that had started in 1991. The main measures were: (i) the Brazilian capital market was opened for international portfolio flows inasmuch as the direct acquisition of Brazilian firms´ equities by foreign institutional investors was permitted (; (ii) foreign investors were also allowed to invest in derivatives markets (limited since 1995 to operations to hedge positions in spot markets, as mentioned below); (iii) firms were allowed to issue new types of securities abroad (such as commercial papers) and securities convertible into stocks; and (vi) the additional income tax on profit and dividend remittance abroad was abolished. Yet, in face of the excessive short term capital inflows, in 1993, some administrative capital controls were adopted: tax-exempted channel (‘Annex IV’) for foreign investment funds to go into fixed-yield bonds (especially public bonds) was closed; foreign portfolio investments into debentures (private fixed-yield bonds) were prohibited and, at the same time, a specific channel for international fixed income (Foreign Capital Fixed Yield Funds) with a 5% financial tax (IOF) was created; a broader range of fixed-income securities, including derivatives and privatisation bonds, was forbade (Paula 2011). </w:t>
      </w:r>
    </w:p>
  </w:footnote>
  <w:footnote w:id="7">
    <w:p w14:paraId="180C4DE5" w14:textId="77777777" w:rsidR="00860C8F" w:rsidRPr="00CF00A4" w:rsidRDefault="00860C8F" w:rsidP="00D00CA2">
      <w:pPr>
        <w:pStyle w:val="Funotentext"/>
        <w:ind w:left="0" w:firstLine="0"/>
        <w:rPr>
          <w:rFonts w:ascii="Calibri" w:hAnsi="Calibri" w:cs="Segoe UI"/>
          <w:lang w:eastAsia="en-US"/>
        </w:rPr>
      </w:pPr>
      <w:r w:rsidRPr="005F2660">
        <w:rPr>
          <w:rStyle w:val="Funotenzeichen"/>
          <w:rFonts w:asciiTheme="minorHAnsi" w:hAnsiTheme="minorHAnsi" w:cstheme="minorHAnsi"/>
        </w:rPr>
        <w:footnoteRef/>
      </w:r>
      <w:r w:rsidRPr="005F2660">
        <w:rPr>
          <w:rFonts w:asciiTheme="minorHAnsi" w:hAnsiTheme="minorHAnsi" w:cstheme="minorHAnsi"/>
        </w:rPr>
        <w:t xml:space="preserve"> </w:t>
      </w:r>
      <w:r>
        <w:t xml:space="preserve"> </w:t>
      </w:r>
      <w:r w:rsidRPr="005F2660">
        <w:rPr>
          <w:rFonts w:ascii="Calibri" w:hAnsi="Calibri" w:cs="Segoe UI"/>
          <w:lang w:eastAsia="en-US"/>
        </w:rPr>
        <w:t>Already i</w:t>
      </w:r>
      <w:r w:rsidRPr="00CF00A4">
        <w:rPr>
          <w:rFonts w:ascii="Calibri" w:hAnsi="Calibri" w:cs="Segoe UI"/>
          <w:lang w:eastAsia="en-US"/>
        </w:rPr>
        <w:t xml:space="preserve">n 1993, within the context of substantial exchange market liberalisation but still with very high inflation, the government </w:t>
      </w:r>
      <w:r>
        <w:rPr>
          <w:rFonts w:ascii="Calibri" w:hAnsi="Calibri" w:cs="Segoe UI"/>
          <w:lang w:eastAsia="en-US"/>
        </w:rPr>
        <w:t xml:space="preserve">had begun </w:t>
      </w:r>
      <w:r w:rsidRPr="00CF00A4">
        <w:rPr>
          <w:rFonts w:ascii="Calibri" w:hAnsi="Calibri" w:cs="Segoe UI"/>
          <w:lang w:eastAsia="en-US"/>
        </w:rPr>
        <w:t xml:space="preserve">a gradual process of ‘throwing sand </w:t>
      </w:r>
      <w:r>
        <w:rPr>
          <w:rFonts w:ascii="Calibri" w:hAnsi="Calibri" w:cs="Segoe UI"/>
          <w:lang w:eastAsia="en-US"/>
        </w:rPr>
        <w:t>i</w:t>
      </w:r>
      <w:r w:rsidRPr="00CF00A4">
        <w:rPr>
          <w:rFonts w:ascii="Calibri" w:hAnsi="Calibri" w:cs="Segoe UI"/>
          <w:lang w:eastAsia="en-US"/>
        </w:rPr>
        <w:t>n the wheels’ of short-term capital inflows directed to fixed-income securities.</w:t>
      </w:r>
    </w:p>
  </w:footnote>
  <w:footnote w:id="8">
    <w:p w14:paraId="2B1504B6" w14:textId="77777777" w:rsidR="00860C8F" w:rsidRPr="00C95119" w:rsidRDefault="00860C8F" w:rsidP="00C95119">
      <w:pPr>
        <w:pStyle w:val="Funotentext"/>
        <w:spacing w:line="240" w:lineRule="auto"/>
        <w:ind w:left="0" w:firstLine="0"/>
        <w:rPr>
          <w:rFonts w:ascii="Calibri" w:hAnsi="Calibri" w:cs="Segoe UI"/>
          <w:lang w:eastAsia="en-US"/>
        </w:rPr>
      </w:pPr>
      <w:r>
        <w:rPr>
          <w:rStyle w:val="Funotenzeichen"/>
        </w:rPr>
        <w:footnoteRef/>
      </w:r>
      <w:r>
        <w:t xml:space="preserve"> </w:t>
      </w:r>
      <w:r w:rsidRPr="00C95119">
        <w:rPr>
          <w:rFonts w:ascii="Calibri" w:hAnsi="Calibri" w:cs="Segoe UI"/>
          <w:lang w:eastAsia="en-US"/>
        </w:rPr>
        <w:t xml:space="preserve">For a detailed description of the </w:t>
      </w:r>
      <w:r>
        <w:rPr>
          <w:rFonts w:ascii="Calibri" w:hAnsi="Calibri" w:cs="Segoe UI"/>
          <w:lang w:eastAsia="en-US"/>
        </w:rPr>
        <w:t xml:space="preserve">financial strategies used by financial market players to avoid capital controls in Brazil during the 1990s, </w:t>
      </w:r>
      <w:r w:rsidRPr="00C95119">
        <w:rPr>
          <w:rFonts w:ascii="Calibri" w:hAnsi="Calibri" w:cs="Segoe UI"/>
          <w:lang w:eastAsia="en-US"/>
        </w:rPr>
        <w:t>see: Cardoso</w:t>
      </w:r>
      <w:r>
        <w:rPr>
          <w:rFonts w:ascii="Calibri" w:hAnsi="Calibri" w:cs="Segoe UI"/>
          <w:lang w:eastAsia="en-US"/>
        </w:rPr>
        <w:t>/</w:t>
      </w:r>
      <w:r w:rsidRPr="00C95119">
        <w:rPr>
          <w:rFonts w:ascii="Calibri" w:hAnsi="Calibri" w:cs="Segoe UI"/>
          <w:lang w:eastAsia="en-US"/>
        </w:rPr>
        <w:t xml:space="preserve">Goldfajn </w:t>
      </w:r>
      <w:r>
        <w:rPr>
          <w:rFonts w:ascii="Calibri" w:hAnsi="Calibri" w:cs="Segoe UI"/>
          <w:lang w:eastAsia="en-US"/>
        </w:rPr>
        <w:t>(</w:t>
      </w:r>
      <w:r w:rsidRPr="00C95119">
        <w:rPr>
          <w:rFonts w:ascii="Calibri" w:hAnsi="Calibri" w:cs="Segoe UI"/>
          <w:lang w:eastAsia="en-US"/>
        </w:rPr>
        <w:t>1997</w:t>
      </w:r>
      <w:r>
        <w:rPr>
          <w:rFonts w:ascii="Calibri" w:hAnsi="Calibri" w:cs="Segoe UI"/>
          <w:lang w:eastAsia="en-US"/>
        </w:rPr>
        <w:t>),</w:t>
      </w:r>
      <w:r w:rsidRPr="00C95119">
        <w:rPr>
          <w:rFonts w:ascii="Calibri" w:hAnsi="Calibri" w:cs="Segoe UI"/>
          <w:lang w:eastAsia="en-US"/>
        </w:rPr>
        <w:t xml:space="preserve"> Carvalho</w:t>
      </w:r>
      <w:r>
        <w:rPr>
          <w:rFonts w:ascii="Calibri" w:hAnsi="Calibri" w:cs="Segoe UI"/>
          <w:lang w:eastAsia="en-US"/>
        </w:rPr>
        <w:t>/</w:t>
      </w:r>
      <w:r w:rsidRPr="00C95119">
        <w:rPr>
          <w:rFonts w:ascii="Calibri" w:hAnsi="Calibri" w:cs="Segoe UI"/>
          <w:lang w:eastAsia="en-US"/>
        </w:rPr>
        <w:t xml:space="preserve">Garcia </w:t>
      </w:r>
      <w:r>
        <w:rPr>
          <w:rFonts w:ascii="Calibri" w:hAnsi="Calibri" w:cs="Segoe UI"/>
          <w:lang w:eastAsia="en-US"/>
        </w:rPr>
        <w:t>(</w:t>
      </w:r>
      <w:r w:rsidRPr="00C95119">
        <w:rPr>
          <w:rFonts w:ascii="Calibri" w:hAnsi="Calibri" w:cs="Segoe UI"/>
          <w:lang w:eastAsia="en-US"/>
        </w:rPr>
        <w:t>2006</w:t>
      </w:r>
      <w:r>
        <w:rPr>
          <w:rFonts w:ascii="Calibri" w:hAnsi="Calibri" w:cs="Segoe UI"/>
          <w:lang w:eastAsia="en-US"/>
        </w:rPr>
        <w:t>)</w:t>
      </w:r>
      <w:r w:rsidRPr="00C95119">
        <w:rPr>
          <w:rFonts w:ascii="Calibri" w:hAnsi="Calibri" w:cs="Segoe UI"/>
          <w:lang w:eastAsia="en-US"/>
        </w:rPr>
        <w:t>.</w:t>
      </w:r>
    </w:p>
  </w:footnote>
  <w:footnote w:id="9">
    <w:p w14:paraId="328843FE" w14:textId="77777777" w:rsidR="006F6A13" w:rsidRPr="00867C66" w:rsidRDefault="006F6A13" w:rsidP="006F6A13">
      <w:pPr>
        <w:pStyle w:val="Funotentext"/>
        <w:ind w:left="0" w:firstLine="1"/>
        <w:rPr>
          <w:sz w:val="16"/>
          <w:lang w:val="en-US"/>
        </w:rPr>
      </w:pPr>
      <w:r>
        <w:rPr>
          <w:rStyle w:val="Funotenzeichen"/>
        </w:rPr>
        <w:footnoteRef/>
      </w:r>
      <w:r>
        <w:t xml:space="preserve"> </w:t>
      </w:r>
      <w:r w:rsidRPr="00932481">
        <w:rPr>
          <w:rFonts w:ascii="Calibri" w:hAnsi="Calibri"/>
          <w:szCs w:val="22"/>
          <w:lang w:val="en-US"/>
        </w:rPr>
        <w:t>It is worth mentioning that neither Baumann/Gallagher (2012) nor Chamon/Garcia (2013) consider the regulation of FX derivatives to be another kind of regulation distinct from capital controls and financial prudential regulation.</w:t>
      </w:r>
    </w:p>
  </w:footnote>
  <w:footnote w:id="10">
    <w:p w14:paraId="60628EA2" w14:textId="77777777" w:rsidR="00860C8F" w:rsidRPr="00201589" w:rsidRDefault="00860C8F" w:rsidP="00160EB3">
      <w:pPr>
        <w:spacing w:after="0" w:line="240" w:lineRule="auto"/>
        <w:jc w:val="both"/>
        <w:rPr>
          <w:bCs/>
          <w:sz w:val="20"/>
          <w:lang w:val="en-US"/>
        </w:rPr>
      </w:pPr>
      <w:r>
        <w:rPr>
          <w:rStyle w:val="Funotenzeichen"/>
        </w:rPr>
        <w:footnoteRef/>
      </w:r>
      <w:r w:rsidRPr="00867C66">
        <w:rPr>
          <w:lang w:val="en-US"/>
        </w:rPr>
        <w:t xml:space="preserve"> </w:t>
      </w:r>
      <w:r w:rsidRPr="00160EB3">
        <w:rPr>
          <w:bCs/>
          <w:sz w:val="20"/>
          <w:lang w:val="en-US"/>
        </w:rPr>
        <w:t>The Brazilian economy became fully open to capital inflows and outflows in Lula´s first term</w:t>
      </w:r>
      <w:r>
        <w:rPr>
          <w:bCs/>
          <w:sz w:val="20"/>
          <w:lang w:val="en-US"/>
        </w:rPr>
        <w:t>:</w:t>
      </w:r>
      <w:r w:rsidRPr="00160EB3">
        <w:rPr>
          <w:bCs/>
          <w:sz w:val="20"/>
          <w:lang w:val="en-US"/>
        </w:rPr>
        <w:t xml:space="preserve"> in 2005, residents' capital exports were fully liberalized; and, in </w:t>
      </w:r>
      <w:r w:rsidRPr="00160EB3">
        <w:rPr>
          <w:sz w:val="20"/>
          <w:lang w:val="en-US"/>
        </w:rPr>
        <w:t>2006, returns of government bonds owned by foreign investors</w:t>
      </w:r>
      <w:r w:rsidRPr="00160EB3">
        <w:rPr>
          <w:bCs/>
          <w:sz w:val="20"/>
          <w:lang w:val="en-US"/>
        </w:rPr>
        <w:t xml:space="preserve"> </w:t>
      </w:r>
      <w:r>
        <w:rPr>
          <w:bCs/>
          <w:sz w:val="20"/>
          <w:lang w:val="en-US"/>
        </w:rPr>
        <w:t xml:space="preserve">were </w:t>
      </w:r>
      <w:r w:rsidRPr="00160EB3">
        <w:rPr>
          <w:sz w:val="20"/>
          <w:lang w:val="en-US"/>
        </w:rPr>
        <w:t>exempt</w:t>
      </w:r>
      <w:r>
        <w:rPr>
          <w:sz w:val="20"/>
          <w:lang w:val="en-US"/>
        </w:rPr>
        <w:t>ed</w:t>
      </w:r>
      <w:r w:rsidRPr="00160EB3">
        <w:rPr>
          <w:sz w:val="20"/>
          <w:lang w:val="en-US"/>
        </w:rPr>
        <w:t xml:space="preserve"> from income </w:t>
      </w:r>
      <w:r w:rsidRPr="00201589">
        <w:rPr>
          <w:bCs/>
          <w:sz w:val="20"/>
          <w:lang w:val="en-US"/>
        </w:rPr>
        <w:t xml:space="preserve">tax.  For a comprehensive analysis of the </w:t>
      </w:r>
      <w:r>
        <w:rPr>
          <w:bCs/>
          <w:sz w:val="20"/>
          <w:lang w:val="en-US"/>
        </w:rPr>
        <w:t xml:space="preserve">process of </w:t>
      </w:r>
      <w:r w:rsidRPr="00201589">
        <w:rPr>
          <w:bCs/>
          <w:sz w:val="20"/>
          <w:lang w:val="en-US"/>
        </w:rPr>
        <w:t>Brazilian financial o</w:t>
      </w:r>
      <w:r>
        <w:rPr>
          <w:bCs/>
          <w:sz w:val="20"/>
          <w:lang w:val="en-US"/>
        </w:rPr>
        <w:t>pening</w:t>
      </w:r>
      <w:r w:rsidRPr="00201589">
        <w:rPr>
          <w:bCs/>
          <w:sz w:val="20"/>
          <w:lang w:val="en-US"/>
        </w:rPr>
        <w:t>, see Paula (2011).</w:t>
      </w:r>
    </w:p>
  </w:footnote>
  <w:footnote w:id="11">
    <w:p w14:paraId="4006D8DC" w14:textId="77777777" w:rsidR="00860C8F" w:rsidRPr="00E275C8" w:rsidRDefault="00860C8F" w:rsidP="00E275C8">
      <w:pPr>
        <w:pStyle w:val="Funotentext"/>
        <w:ind w:left="0" w:firstLine="0"/>
        <w:rPr>
          <w:rFonts w:ascii="Calibri" w:hAnsi="Calibri"/>
          <w:color w:val="auto"/>
          <w:sz w:val="21"/>
          <w:szCs w:val="22"/>
        </w:rPr>
      </w:pPr>
      <w:r>
        <w:rPr>
          <w:rStyle w:val="Funotenzeichen"/>
        </w:rPr>
        <w:footnoteRef/>
      </w:r>
      <w:r>
        <w:t xml:space="preserve">  </w:t>
      </w:r>
      <w:r w:rsidRPr="00E275C8">
        <w:rPr>
          <w:rFonts w:ascii="Calibri" w:hAnsi="Calibri"/>
          <w:color w:val="auto"/>
          <w:sz w:val="21"/>
          <w:szCs w:val="22"/>
        </w:rPr>
        <w:t xml:space="preserve">During this period </w:t>
      </w:r>
      <w:r>
        <w:rPr>
          <w:rFonts w:ascii="Calibri" w:hAnsi="Calibri"/>
          <w:color w:val="auto"/>
          <w:sz w:val="21"/>
          <w:szCs w:val="22"/>
        </w:rPr>
        <w:t xml:space="preserve">the </w:t>
      </w:r>
      <w:r w:rsidRPr="00E275C8">
        <w:rPr>
          <w:rFonts w:ascii="Calibri" w:hAnsi="Calibri"/>
          <w:color w:val="auto"/>
          <w:sz w:val="21"/>
          <w:szCs w:val="22"/>
        </w:rPr>
        <w:t>Brazilian monetary authority pursued a strategy of intervention in the FX market known as “leaning against the wind” (Archer 2005), which attempted to reduce the exchange rate volatility without influencing the exchange rate trend</w:t>
      </w:r>
      <w:r>
        <w:rPr>
          <w:rFonts w:ascii="Calibri" w:hAnsi="Calibri"/>
          <w:color w:val="auto"/>
          <w:sz w:val="21"/>
          <w:szCs w:val="22"/>
        </w:rPr>
        <w:t xml:space="preserve">. Yet, this strategy </w:t>
      </w:r>
      <w:r w:rsidRPr="00E275C8">
        <w:rPr>
          <w:rFonts w:ascii="Calibri" w:hAnsi="Calibri"/>
          <w:color w:val="auto"/>
          <w:sz w:val="21"/>
          <w:szCs w:val="22"/>
        </w:rPr>
        <w:t>resulted in an excessively high cost of sterilization operations due to the large differential between internal and external interest rates (Prates, Cunha, and Lélis 2009)</w:t>
      </w:r>
      <w:r>
        <w:rPr>
          <w:rFonts w:ascii="Calibri" w:hAnsi="Calibri"/>
          <w:color w:val="auto"/>
          <w:sz w:val="21"/>
          <w:szCs w:val="22"/>
        </w:rPr>
        <w:t>.</w:t>
      </w:r>
    </w:p>
  </w:footnote>
  <w:footnote w:id="12">
    <w:p w14:paraId="10F7D080" w14:textId="7A2F676C" w:rsidR="00860C8F" w:rsidRPr="00614E83" w:rsidRDefault="00860C8F" w:rsidP="00614E83">
      <w:pPr>
        <w:pStyle w:val="Padro"/>
        <w:spacing w:after="0" w:line="240" w:lineRule="auto"/>
        <w:jc w:val="both"/>
        <w:rPr>
          <w:lang w:val="en-US"/>
        </w:rPr>
      </w:pPr>
      <w:r>
        <w:rPr>
          <w:rStyle w:val="Funotenzeichen"/>
        </w:rPr>
        <w:footnoteRef/>
      </w:r>
      <w:r>
        <w:rPr>
          <w:rFonts w:asciiTheme="minorHAnsi" w:hAnsiTheme="minorHAnsi"/>
          <w:sz w:val="22"/>
          <w:szCs w:val="22"/>
          <w:lang w:val="en-US"/>
        </w:rPr>
        <w:t xml:space="preserve"> T</w:t>
      </w:r>
      <w:r w:rsidRPr="00FA69D0">
        <w:rPr>
          <w:rFonts w:asciiTheme="minorHAnsi" w:hAnsiTheme="minorHAnsi"/>
          <w:sz w:val="22"/>
          <w:szCs w:val="22"/>
          <w:lang w:val="en-US"/>
        </w:rPr>
        <w:t>he Brazilian government has had the policy space to engage in such broad regul</w:t>
      </w:r>
      <w:r>
        <w:rPr>
          <w:rFonts w:asciiTheme="minorHAnsi" w:hAnsiTheme="minorHAnsi"/>
          <w:sz w:val="22"/>
          <w:szCs w:val="22"/>
          <w:lang w:val="en-US"/>
        </w:rPr>
        <w:t>atory framework because</w:t>
      </w:r>
      <w:r w:rsidRPr="00FA69D0">
        <w:rPr>
          <w:rFonts w:asciiTheme="minorHAnsi" w:hAnsiTheme="minorHAnsi"/>
          <w:sz w:val="22"/>
          <w:szCs w:val="22"/>
          <w:lang w:val="en-US"/>
        </w:rPr>
        <w:t xml:space="preserve"> it does not have trade and investment treaties or commitments under the GATS that prohibit the regulation </w:t>
      </w:r>
      <w:r>
        <w:rPr>
          <w:rFonts w:asciiTheme="minorHAnsi" w:hAnsiTheme="minorHAnsi"/>
          <w:sz w:val="22"/>
          <w:szCs w:val="22"/>
          <w:lang w:val="en-US"/>
        </w:rPr>
        <w:t xml:space="preserve">of capital flows and FX derivatives </w:t>
      </w:r>
      <w:r w:rsidRPr="00FA69D0">
        <w:rPr>
          <w:rFonts w:asciiTheme="minorHAnsi" w:hAnsiTheme="minorHAnsi"/>
          <w:sz w:val="22"/>
          <w:szCs w:val="22"/>
          <w:lang w:val="en-US"/>
        </w:rPr>
        <w:t>(Paula/</w:t>
      </w:r>
      <w:r>
        <w:rPr>
          <w:rFonts w:ascii="Calibri" w:hAnsi="Calibri"/>
          <w:sz w:val="22"/>
          <w:szCs w:val="22"/>
          <w:lang w:val="en-US"/>
        </w:rPr>
        <w:t>Prates</w:t>
      </w:r>
      <w:r w:rsidRPr="004E011A">
        <w:rPr>
          <w:rFonts w:ascii="Calibri" w:hAnsi="Calibri"/>
          <w:sz w:val="22"/>
          <w:szCs w:val="22"/>
          <w:lang w:val="en-US"/>
        </w:rPr>
        <w:t>, 2013</w:t>
      </w:r>
      <w:r>
        <w:rPr>
          <w:rFonts w:ascii="Calibri" w:hAnsi="Calibri"/>
          <w:sz w:val="22"/>
          <w:szCs w:val="22"/>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939870"/>
      <w:docPartObj>
        <w:docPartGallery w:val="Page Numbers (Top of Page)"/>
        <w:docPartUnique/>
      </w:docPartObj>
    </w:sdtPr>
    <w:sdtEndPr/>
    <w:sdtContent>
      <w:p w14:paraId="5FFDD406" w14:textId="32BD9173" w:rsidR="00860C8F" w:rsidRDefault="00860C8F">
        <w:pPr>
          <w:pStyle w:val="Kopfzeile"/>
          <w:jc w:val="right"/>
        </w:pPr>
        <w:r>
          <w:fldChar w:fldCharType="begin"/>
        </w:r>
        <w:r>
          <w:instrText>PAGE   \* MERGEFORMAT</w:instrText>
        </w:r>
        <w:r>
          <w:fldChar w:fldCharType="separate"/>
        </w:r>
        <w:r w:rsidR="000D41E2" w:rsidRPr="000D41E2">
          <w:rPr>
            <w:noProof/>
            <w:lang w:val="de-DE"/>
          </w:rPr>
          <w:t>1</w:t>
        </w:r>
        <w:r>
          <w:rPr>
            <w:noProof/>
            <w:lang w:val="de-DE"/>
          </w:rPr>
          <w:fldChar w:fldCharType="end"/>
        </w:r>
      </w:p>
    </w:sdtContent>
  </w:sdt>
  <w:p w14:paraId="27BBD135" w14:textId="77777777" w:rsidR="00860C8F" w:rsidRDefault="00860C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05F"/>
    <w:multiLevelType w:val="multilevel"/>
    <w:tmpl w:val="D8CEE8C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305E2D"/>
    <w:multiLevelType w:val="multilevel"/>
    <w:tmpl w:val="6C0A3E8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lowerLetter"/>
      <w:lvlText w:val="%5)"/>
      <w:lvlJc w:val="left"/>
      <w:pPr>
        <w:ind w:left="3240" w:hanging="360"/>
      </w:p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138537F"/>
    <w:multiLevelType w:val="multilevel"/>
    <w:tmpl w:val="E650389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16A61237"/>
    <w:multiLevelType w:val="hybridMultilevel"/>
    <w:tmpl w:val="109ED622"/>
    <w:lvl w:ilvl="0" w:tplc="5BE26F0E">
      <w:start w:val="1"/>
      <w:numFmt w:val="bullet"/>
      <w:lvlText w:val="•"/>
      <w:lvlJc w:val="left"/>
      <w:pPr>
        <w:tabs>
          <w:tab w:val="num" w:pos="360"/>
        </w:tabs>
        <w:ind w:left="360" w:hanging="360"/>
      </w:pPr>
      <w:rPr>
        <w:rFonts w:ascii="Arial" w:hAnsi="Arial" w:hint="default"/>
      </w:rPr>
    </w:lvl>
    <w:lvl w:ilvl="1" w:tplc="E272D6F4">
      <w:start w:val="1"/>
      <w:numFmt w:val="lowerRoman"/>
      <w:lvlText w:val="%2."/>
      <w:lvlJc w:val="right"/>
      <w:pPr>
        <w:tabs>
          <w:tab w:val="num" w:pos="1080"/>
        </w:tabs>
        <w:ind w:left="1080" w:hanging="360"/>
      </w:pPr>
    </w:lvl>
    <w:lvl w:ilvl="2" w:tplc="EE2E06E6">
      <w:start w:val="1"/>
      <w:numFmt w:val="bullet"/>
      <w:lvlText w:val="•"/>
      <w:lvlJc w:val="left"/>
      <w:pPr>
        <w:tabs>
          <w:tab w:val="num" w:pos="1800"/>
        </w:tabs>
        <w:ind w:left="1800" w:hanging="360"/>
      </w:pPr>
      <w:rPr>
        <w:rFonts w:ascii="Arial" w:hAnsi="Arial" w:hint="default"/>
      </w:rPr>
    </w:lvl>
    <w:lvl w:ilvl="3" w:tplc="E8FE0C7C">
      <w:start w:val="172"/>
      <w:numFmt w:val="bullet"/>
      <w:lvlText w:val="•"/>
      <w:lvlJc w:val="left"/>
      <w:pPr>
        <w:tabs>
          <w:tab w:val="num" w:pos="2520"/>
        </w:tabs>
        <w:ind w:left="2520" w:hanging="360"/>
      </w:pPr>
      <w:rPr>
        <w:rFonts w:ascii="Arial" w:hAnsi="Arial" w:hint="default"/>
      </w:rPr>
    </w:lvl>
    <w:lvl w:ilvl="4" w:tplc="60D4352C" w:tentative="1">
      <w:start w:val="1"/>
      <w:numFmt w:val="bullet"/>
      <w:lvlText w:val="•"/>
      <w:lvlJc w:val="left"/>
      <w:pPr>
        <w:tabs>
          <w:tab w:val="num" w:pos="3240"/>
        </w:tabs>
        <w:ind w:left="3240" w:hanging="360"/>
      </w:pPr>
      <w:rPr>
        <w:rFonts w:ascii="Arial" w:hAnsi="Arial" w:hint="default"/>
      </w:rPr>
    </w:lvl>
    <w:lvl w:ilvl="5" w:tplc="3A52C8E8" w:tentative="1">
      <w:start w:val="1"/>
      <w:numFmt w:val="bullet"/>
      <w:lvlText w:val="•"/>
      <w:lvlJc w:val="left"/>
      <w:pPr>
        <w:tabs>
          <w:tab w:val="num" w:pos="3960"/>
        </w:tabs>
        <w:ind w:left="3960" w:hanging="360"/>
      </w:pPr>
      <w:rPr>
        <w:rFonts w:ascii="Arial" w:hAnsi="Arial" w:hint="default"/>
      </w:rPr>
    </w:lvl>
    <w:lvl w:ilvl="6" w:tplc="12EEB70A" w:tentative="1">
      <w:start w:val="1"/>
      <w:numFmt w:val="bullet"/>
      <w:lvlText w:val="•"/>
      <w:lvlJc w:val="left"/>
      <w:pPr>
        <w:tabs>
          <w:tab w:val="num" w:pos="4680"/>
        </w:tabs>
        <w:ind w:left="4680" w:hanging="360"/>
      </w:pPr>
      <w:rPr>
        <w:rFonts w:ascii="Arial" w:hAnsi="Arial" w:hint="default"/>
      </w:rPr>
    </w:lvl>
    <w:lvl w:ilvl="7" w:tplc="B372A178" w:tentative="1">
      <w:start w:val="1"/>
      <w:numFmt w:val="bullet"/>
      <w:lvlText w:val="•"/>
      <w:lvlJc w:val="left"/>
      <w:pPr>
        <w:tabs>
          <w:tab w:val="num" w:pos="5400"/>
        </w:tabs>
        <w:ind w:left="5400" w:hanging="360"/>
      </w:pPr>
      <w:rPr>
        <w:rFonts w:ascii="Arial" w:hAnsi="Arial" w:hint="default"/>
      </w:rPr>
    </w:lvl>
    <w:lvl w:ilvl="8" w:tplc="1EA067A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B703C4E"/>
    <w:multiLevelType w:val="multilevel"/>
    <w:tmpl w:val="5BBCB59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F246C50"/>
    <w:multiLevelType w:val="hybridMultilevel"/>
    <w:tmpl w:val="C3948CF0"/>
    <w:lvl w:ilvl="0" w:tplc="0DE08FF2">
      <w:numFmt w:val="bullet"/>
      <w:lvlText w:val="-"/>
      <w:lvlJc w:val="left"/>
      <w:pPr>
        <w:ind w:left="720" w:hanging="360"/>
      </w:pPr>
      <w:rPr>
        <w:rFonts w:ascii="Calibri" w:eastAsia="Times New Roman"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01A2F55"/>
    <w:multiLevelType w:val="hybridMultilevel"/>
    <w:tmpl w:val="C57A8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B25D64"/>
    <w:multiLevelType w:val="hybridMultilevel"/>
    <w:tmpl w:val="6F5E0A9C"/>
    <w:lvl w:ilvl="0" w:tplc="7610A4EC">
      <w:start w:val="4"/>
      <w:numFmt w:val="bullet"/>
      <w:lvlText w:val="-"/>
      <w:lvlJc w:val="left"/>
      <w:pPr>
        <w:ind w:left="520" w:hanging="360"/>
      </w:pPr>
      <w:rPr>
        <w:rFonts w:ascii="Calibri" w:eastAsia="Calibri" w:hAnsi="Calibri" w:cs="Arial" w:hint="default"/>
      </w:rPr>
    </w:lvl>
    <w:lvl w:ilvl="1" w:tplc="04160003" w:tentative="1">
      <w:start w:val="1"/>
      <w:numFmt w:val="bullet"/>
      <w:lvlText w:val="o"/>
      <w:lvlJc w:val="left"/>
      <w:pPr>
        <w:ind w:left="1240" w:hanging="360"/>
      </w:pPr>
      <w:rPr>
        <w:rFonts w:ascii="Courier New" w:hAnsi="Courier New" w:cs="Courier New" w:hint="default"/>
      </w:rPr>
    </w:lvl>
    <w:lvl w:ilvl="2" w:tplc="04160005" w:tentative="1">
      <w:start w:val="1"/>
      <w:numFmt w:val="bullet"/>
      <w:lvlText w:val=""/>
      <w:lvlJc w:val="left"/>
      <w:pPr>
        <w:ind w:left="1960" w:hanging="360"/>
      </w:pPr>
      <w:rPr>
        <w:rFonts w:ascii="Wingdings" w:hAnsi="Wingdings" w:hint="default"/>
      </w:rPr>
    </w:lvl>
    <w:lvl w:ilvl="3" w:tplc="04160001" w:tentative="1">
      <w:start w:val="1"/>
      <w:numFmt w:val="bullet"/>
      <w:lvlText w:val=""/>
      <w:lvlJc w:val="left"/>
      <w:pPr>
        <w:ind w:left="2680" w:hanging="360"/>
      </w:pPr>
      <w:rPr>
        <w:rFonts w:ascii="Symbol" w:hAnsi="Symbol" w:hint="default"/>
      </w:rPr>
    </w:lvl>
    <w:lvl w:ilvl="4" w:tplc="04160003" w:tentative="1">
      <w:start w:val="1"/>
      <w:numFmt w:val="bullet"/>
      <w:lvlText w:val="o"/>
      <w:lvlJc w:val="left"/>
      <w:pPr>
        <w:ind w:left="3400" w:hanging="360"/>
      </w:pPr>
      <w:rPr>
        <w:rFonts w:ascii="Courier New" w:hAnsi="Courier New" w:cs="Courier New" w:hint="default"/>
      </w:rPr>
    </w:lvl>
    <w:lvl w:ilvl="5" w:tplc="04160005" w:tentative="1">
      <w:start w:val="1"/>
      <w:numFmt w:val="bullet"/>
      <w:lvlText w:val=""/>
      <w:lvlJc w:val="left"/>
      <w:pPr>
        <w:ind w:left="4120" w:hanging="360"/>
      </w:pPr>
      <w:rPr>
        <w:rFonts w:ascii="Wingdings" w:hAnsi="Wingdings" w:hint="default"/>
      </w:rPr>
    </w:lvl>
    <w:lvl w:ilvl="6" w:tplc="04160001" w:tentative="1">
      <w:start w:val="1"/>
      <w:numFmt w:val="bullet"/>
      <w:lvlText w:val=""/>
      <w:lvlJc w:val="left"/>
      <w:pPr>
        <w:ind w:left="4840" w:hanging="360"/>
      </w:pPr>
      <w:rPr>
        <w:rFonts w:ascii="Symbol" w:hAnsi="Symbol" w:hint="default"/>
      </w:rPr>
    </w:lvl>
    <w:lvl w:ilvl="7" w:tplc="04160003" w:tentative="1">
      <w:start w:val="1"/>
      <w:numFmt w:val="bullet"/>
      <w:lvlText w:val="o"/>
      <w:lvlJc w:val="left"/>
      <w:pPr>
        <w:ind w:left="5560" w:hanging="360"/>
      </w:pPr>
      <w:rPr>
        <w:rFonts w:ascii="Courier New" w:hAnsi="Courier New" w:cs="Courier New" w:hint="default"/>
      </w:rPr>
    </w:lvl>
    <w:lvl w:ilvl="8" w:tplc="04160005" w:tentative="1">
      <w:start w:val="1"/>
      <w:numFmt w:val="bullet"/>
      <w:lvlText w:val=""/>
      <w:lvlJc w:val="left"/>
      <w:pPr>
        <w:ind w:left="6280" w:hanging="360"/>
      </w:pPr>
      <w:rPr>
        <w:rFonts w:ascii="Wingdings" w:hAnsi="Wingdings" w:hint="default"/>
      </w:rPr>
    </w:lvl>
  </w:abstractNum>
  <w:abstractNum w:abstractNumId="8" w15:restartNumberingAfterBreak="0">
    <w:nsid w:val="3E114D33"/>
    <w:multiLevelType w:val="hybridMultilevel"/>
    <w:tmpl w:val="B8F63FEC"/>
    <w:lvl w:ilvl="0" w:tplc="A41AE606">
      <w:start w:val="1"/>
      <w:numFmt w:val="bullet"/>
      <w:lvlText w:val="-"/>
      <w:lvlJc w:val="left"/>
      <w:pPr>
        <w:tabs>
          <w:tab w:val="num" w:pos="720"/>
        </w:tabs>
        <w:ind w:left="720" w:hanging="360"/>
      </w:pPr>
      <w:rPr>
        <w:rFonts w:ascii="Arial" w:hAnsi="Arial" w:hint="default"/>
      </w:rPr>
    </w:lvl>
    <w:lvl w:ilvl="1" w:tplc="07E8D358" w:tentative="1">
      <w:start w:val="1"/>
      <w:numFmt w:val="bullet"/>
      <w:lvlText w:val="-"/>
      <w:lvlJc w:val="left"/>
      <w:pPr>
        <w:tabs>
          <w:tab w:val="num" w:pos="1440"/>
        </w:tabs>
        <w:ind w:left="1440" w:hanging="360"/>
      </w:pPr>
      <w:rPr>
        <w:rFonts w:ascii="Arial" w:hAnsi="Arial" w:hint="default"/>
      </w:rPr>
    </w:lvl>
    <w:lvl w:ilvl="2" w:tplc="828EF230" w:tentative="1">
      <w:start w:val="1"/>
      <w:numFmt w:val="bullet"/>
      <w:lvlText w:val="-"/>
      <w:lvlJc w:val="left"/>
      <w:pPr>
        <w:tabs>
          <w:tab w:val="num" w:pos="2160"/>
        </w:tabs>
        <w:ind w:left="2160" w:hanging="360"/>
      </w:pPr>
      <w:rPr>
        <w:rFonts w:ascii="Arial" w:hAnsi="Arial" w:hint="default"/>
      </w:rPr>
    </w:lvl>
    <w:lvl w:ilvl="3" w:tplc="E39EC00C" w:tentative="1">
      <w:start w:val="1"/>
      <w:numFmt w:val="bullet"/>
      <w:lvlText w:val="-"/>
      <w:lvlJc w:val="left"/>
      <w:pPr>
        <w:tabs>
          <w:tab w:val="num" w:pos="2880"/>
        </w:tabs>
        <w:ind w:left="2880" w:hanging="360"/>
      </w:pPr>
      <w:rPr>
        <w:rFonts w:ascii="Arial" w:hAnsi="Arial" w:hint="default"/>
      </w:rPr>
    </w:lvl>
    <w:lvl w:ilvl="4" w:tplc="38D6C35E" w:tentative="1">
      <w:start w:val="1"/>
      <w:numFmt w:val="bullet"/>
      <w:lvlText w:val="-"/>
      <w:lvlJc w:val="left"/>
      <w:pPr>
        <w:tabs>
          <w:tab w:val="num" w:pos="3600"/>
        </w:tabs>
        <w:ind w:left="3600" w:hanging="360"/>
      </w:pPr>
      <w:rPr>
        <w:rFonts w:ascii="Arial" w:hAnsi="Arial" w:hint="default"/>
      </w:rPr>
    </w:lvl>
    <w:lvl w:ilvl="5" w:tplc="7278DD48" w:tentative="1">
      <w:start w:val="1"/>
      <w:numFmt w:val="bullet"/>
      <w:lvlText w:val="-"/>
      <w:lvlJc w:val="left"/>
      <w:pPr>
        <w:tabs>
          <w:tab w:val="num" w:pos="4320"/>
        </w:tabs>
        <w:ind w:left="4320" w:hanging="360"/>
      </w:pPr>
      <w:rPr>
        <w:rFonts w:ascii="Arial" w:hAnsi="Arial" w:hint="default"/>
      </w:rPr>
    </w:lvl>
    <w:lvl w:ilvl="6" w:tplc="D2F24358" w:tentative="1">
      <w:start w:val="1"/>
      <w:numFmt w:val="bullet"/>
      <w:lvlText w:val="-"/>
      <w:lvlJc w:val="left"/>
      <w:pPr>
        <w:tabs>
          <w:tab w:val="num" w:pos="5040"/>
        </w:tabs>
        <w:ind w:left="5040" w:hanging="360"/>
      </w:pPr>
      <w:rPr>
        <w:rFonts w:ascii="Arial" w:hAnsi="Arial" w:hint="default"/>
      </w:rPr>
    </w:lvl>
    <w:lvl w:ilvl="7" w:tplc="FB00D42E" w:tentative="1">
      <w:start w:val="1"/>
      <w:numFmt w:val="bullet"/>
      <w:lvlText w:val="-"/>
      <w:lvlJc w:val="left"/>
      <w:pPr>
        <w:tabs>
          <w:tab w:val="num" w:pos="5760"/>
        </w:tabs>
        <w:ind w:left="5760" w:hanging="360"/>
      </w:pPr>
      <w:rPr>
        <w:rFonts w:ascii="Arial" w:hAnsi="Arial" w:hint="default"/>
      </w:rPr>
    </w:lvl>
    <w:lvl w:ilvl="8" w:tplc="808E6D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B045D6"/>
    <w:multiLevelType w:val="hybridMultilevel"/>
    <w:tmpl w:val="1474FD50"/>
    <w:lvl w:ilvl="0" w:tplc="87A2E2F2">
      <w:start w:val="2"/>
      <w:numFmt w:val="bullet"/>
      <w:lvlText w:val=""/>
      <w:lvlJc w:val="left"/>
      <w:pPr>
        <w:ind w:left="720" w:hanging="360"/>
      </w:pPr>
      <w:rPr>
        <w:rFonts w:ascii="Wingdings" w:eastAsia="Times New Roman" w:hAnsi="Wingdings" w:cs="Segoe U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3926E5A"/>
    <w:multiLevelType w:val="multilevel"/>
    <w:tmpl w:val="854088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4D650E8"/>
    <w:multiLevelType w:val="multilevel"/>
    <w:tmpl w:val="2D045DB2"/>
    <w:lvl w:ilvl="0">
      <w:start w:val="2"/>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56955BB4"/>
    <w:multiLevelType w:val="hybridMultilevel"/>
    <w:tmpl w:val="91FCE57C"/>
    <w:lvl w:ilvl="0" w:tplc="CE3EE0AC">
      <w:start w:val="1"/>
      <w:numFmt w:val="bullet"/>
      <w:lvlText w:val="-"/>
      <w:lvlJc w:val="left"/>
      <w:pPr>
        <w:tabs>
          <w:tab w:val="num" w:pos="720"/>
        </w:tabs>
        <w:ind w:left="720" w:hanging="360"/>
      </w:pPr>
      <w:rPr>
        <w:rFonts w:ascii="Arial" w:hAnsi="Arial" w:hint="default"/>
        <w:color w:val="FFFFFF" w:themeColor="background1"/>
      </w:rPr>
    </w:lvl>
    <w:lvl w:ilvl="1" w:tplc="07E8D358" w:tentative="1">
      <w:start w:val="1"/>
      <w:numFmt w:val="bullet"/>
      <w:lvlText w:val="-"/>
      <w:lvlJc w:val="left"/>
      <w:pPr>
        <w:tabs>
          <w:tab w:val="num" w:pos="1440"/>
        </w:tabs>
        <w:ind w:left="1440" w:hanging="360"/>
      </w:pPr>
      <w:rPr>
        <w:rFonts w:ascii="Arial" w:hAnsi="Arial" w:hint="default"/>
      </w:rPr>
    </w:lvl>
    <w:lvl w:ilvl="2" w:tplc="828EF230" w:tentative="1">
      <w:start w:val="1"/>
      <w:numFmt w:val="bullet"/>
      <w:lvlText w:val="-"/>
      <w:lvlJc w:val="left"/>
      <w:pPr>
        <w:tabs>
          <w:tab w:val="num" w:pos="2160"/>
        </w:tabs>
        <w:ind w:left="2160" w:hanging="360"/>
      </w:pPr>
      <w:rPr>
        <w:rFonts w:ascii="Arial" w:hAnsi="Arial" w:hint="default"/>
      </w:rPr>
    </w:lvl>
    <w:lvl w:ilvl="3" w:tplc="E39EC00C" w:tentative="1">
      <w:start w:val="1"/>
      <w:numFmt w:val="bullet"/>
      <w:lvlText w:val="-"/>
      <w:lvlJc w:val="left"/>
      <w:pPr>
        <w:tabs>
          <w:tab w:val="num" w:pos="2880"/>
        </w:tabs>
        <w:ind w:left="2880" w:hanging="360"/>
      </w:pPr>
      <w:rPr>
        <w:rFonts w:ascii="Arial" w:hAnsi="Arial" w:hint="default"/>
      </w:rPr>
    </w:lvl>
    <w:lvl w:ilvl="4" w:tplc="38D6C35E" w:tentative="1">
      <w:start w:val="1"/>
      <w:numFmt w:val="bullet"/>
      <w:lvlText w:val="-"/>
      <w:lvlJc w:val="left"/>
      <w:pPr>
        <w:tabs>
          <w:tab w:val="num" w:pos="3600"/>
        </w:tabs>
        <w:ind w:left="3600" w:hanging="360"/>
      </w:pPr>
      <w:rPr>
        <w:rFonts w:ascii="Arial" w:hAnsi="Arial" w:hint="default"/>
      </w:rPr>
    </w:lvl>
    <w:lvl w:ilvl="5" w:tplc="7278DD48" w:tentative="1">
      <w:start w:val="1"/>
      <w:numFmt w:val="bullet"/>
      <w:lvlText w:val="-"/>
      <w:lvlJc w:val="left"/>
      <w:pPr>
        <w:tabs>
          <w:tab w:val="num" w:pos="4320"/>
        </w:tabs>
        <w:ind w:left="4320" w:hanging="360"/>
      </w:pPr>
      <w:rPr>
        <w:rFonts w:ascii="Arial" w:hAnsi="Arial" w:hint="default"/>
      </w:rPr>
    </w:lvl>
    <w:lvl w:ilvl="6" w:tplc="D2F24358" w:tentative="1">
      <w:start w:val="1"/>
      <w:numFmt w:val="bullet"/>
      <w:lvlText w:val="-"/>
      <w:lvlJc w:val="left"/>
      <w:pPr>
        <w:tabs>
          <w:tab w:val="num" w:pos="5040"/>
        </w:tabs>
        <w:ind w:left="5040" w:hanging="360"/>
      </w:pPr>
      <w:rPr>
        <w:rFonts w:ascii="Arial" w:hAnsi="Arial" w:hint="default"/>
      </w:rPr>
    </w:lvl>
    <w:lvl w:ilvl="7" w:tplc="FB00D42E" w:tentative="1">
      <w:start w:val="1"/>
      <w:numFmt w:val="bullet"/>
      <w:lvlText w:val="-"/>
      <w:lvlJc w:val="left"/>
      <w:pPr>
        <w:tabs>
          <w:tab w:val="num" w:pos="5760"/>
        </w:tabs>
        <w:ind w:left="5760" w:hanging="360"/>
      </w:pPr>
      <w:rPr>
        <w:rFonts w:ascii="Arial" w:hAnsi="Arial" w:hint="default"/>
      </w:rPr>
    </w:lvl>
    <w:lvl w:ilvl="8" w:tplc="808E6D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6E2B97"/>
    <w:multiLevelType w:val="multilevel"/>
    <w:tmpl w:val="D57460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361496D"/>
    <w:multiLevelType w:val="hybridMultilevel"/>
    <w:tmpl w:val="D5CA445E"/>
    <w:lvl w:ilvl="0" w:tplc="582AD1D0">
      <w:numFmt w:val="bullet"/>
      <w:lvlText w:val=""/>
      <w:lvlJc w:val="left"/>
      <w:pPr>
        <w:ind w:left="720" w:hanging="360"/>
      </w:pPr>
      <w:rPr>
        <w:rFonts w:ascii="Wingdings" w:eastAsia="Times New Roman" w:hAnsi="Wingding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177C23"/>
    <w:multiLevelType w:val="hybridMultilevel"/>
    <w:tmpl w:val="CA92C510"/>
    <w:lvl w:ilvl="0" w:tplc="4FBC3CAA">
      <w:start w:val="2"/>
      <w:numFmt w:val="bullet"/>
      <w:lvlText w:val=""/>
      <w:lvlJc w:val="left"/>
      <w:pPr>
        <w:ind w:left="720" w:hanging="360"/>
      </w:pPr>
      <w:rPr>
        <w:rFonts w:ascii="Wingdings" w:eastAsia="Times New Roman" w:hAnsi="Wingdings" w:cs="Segoe U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5BA605B"/>
    <w:multiLevelType w:val="hybridMultilevel"/>
    <w:tmpl w:val="27EA7EDE"/>
    <w:lvl w:ilvl="0" w:tplc="1502429E">
      <w:start w:val="2"/>
      <w:numFmt w:val="bullet"/>
      <w:lvlText w:val="-"/>
      <w:lvlJc w:val="left"/>
      <w:pPr>
        <w:ind w:left="720" w:hanging="360"/>
      </w:pPr>
      <w:rPr>
        <w:rFonts w:ascii="Cambria" w:eastAsia="Times New Roman" w:hAnsi="Cambria"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6D80277"/>
    <w:multiLevelType w:val="multilevel"/>
    <w:tmpl w:val="A142CA7A"/>
    <w:lvl w:ilvl="0">
      <w:start w:val="1"/>
      <w:numFmt w:val="none"/>
      <w:pStyle w:val="Ttulo11"/>
      <w:suff w:val="nothing"/>
      <w:lvlText w:val=""/>
      <w:lvlJc w:val="left"/>
      <w:pPr>
        <w:tabs>
          <w:tab w:val="num" w:pos="432"/>
        </w:tabs>
        <w:ind w:left="432" w:hanging="432"/>
      </w:pPr>
    </w:lvl>
    <w:lvl w:ilvl="1">
      <w:start w:val="1"/>
      <w:numFmt w:val="none"/>
      <w:pStyle w:val="Ttulo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7B913411"/>
    <w:multiLevelType w:val="multilevel"/>
    <w:tmpl w:val="5EF67E1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D377C82"/>
    <w:multiLevelType w:val="hybridMultilevel"/>
    <w:tmpl w:val="8F7AC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2"/>
  </w:num>
  <w:num w:numId="3">
    <w:abstractNumId w:val="10"/>
  </w:num>
  <w:num w:numId="4">
    <w:abstractNumId w:val="0"/>
  </w:num>
  <w:num w:numId="5">
    <w:abstractNumId w:val="11"/>
  </w:num>
  <w:num w:numId="6">
    <w:abstractNumId w:val="1"/>
  </w:num>
  <w:num w:numId="7">
    <w:abstractNumId w:val="4"/>
  </w:num>
  <w:num w:numId="8">
    <w:abstractNumId w:val="13"/>
  </w:num>
  <w:num w:numId="9">
    <w:abstractNumId w:val="18"/>
  </w:num>
  <w:num w:numId="10">
    <w:abstractNumId w:val="14"/>
  </w:num>
  <w:num w:numId="11">
    <w:abstractNumId w:val="3"/>
  </w:num>
  <w:num w:numId="12">
    <w:abstractNumId w:val="5"/>
  </w:num>
  <w:num w:numId="13">
    <w:abstractNumId w:val="8"/>
  </w:num>
  <w:num w:numId="14">
    <w:abstractNumId w:val="15"/>
  </w:num>
  <w:num w:numId="15">
    <w:abstractNumId w:val="9"/>
  </w:num>
  <w:num w:numId="16">
    <w:abstractNumId w:val="17"/>
  </w:num>
  <w:num w:numId="17">
    <w:abstractNumId w:val="12"/>
  </w:num>
  <w:num w:numId="18">
    <w:abstractNumId w:val="16"/>
  </w:num>
  <w:num w:numId="19">
    <w:abstractNumId w:val="6"/>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pt-BR" w:vendorID="64" w:dllVersion="6"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de-DE" w:vendorID="64" w:dllVersion="0" w:nlCheck="1" w:checkStyle="0"/>
  <w:activeWritingStyle w:appName="MSWord" w:lang="sv-SE" w:vendorID="64" w:dllVersion="0" w:nlCheck="1" w:checkStyle="0"/>
  <w:revisionView w:inkAnnotations="0"/>
  <w:doNotTrackFormatting/>
  <w:defaultTabStop w:val="720"/>
  <w:hyphenationZone w:val="425"/>
  <w:characterSpacingControl w:val="doNotCompress"/>
  <w:hdrShapeDefaults>
    <o:shapedefaults v:ext="edit" spidmax="4097"/>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FC"/>
    <w:rsid w:val="0000690F"/>
    <w:rsid w:val="00007519"/>
    <w:rsid w:val="00010933"/>
    <w:rsid w:val="00014E36"/>
    <w:rsid w:val="000209CF"/>
    <w:rsid w:val="00021EAE"/>
    <w:rsid w:val="000271D3"/>
    <w:rsid w:val="00027A94"/>
    <w:rsid w:val="00030AE7"/>
    <w:rsid w:val="0003583F"/>
    <w:rsid w:val="0004162F"/>
    <w:rsid w:val="00042163"/>
    <w:rsid w:val="000438E0"/>
    <w:rsid w:val="00044FC8"/>
    <w:rsid w:val="00045408"/>
    <w:rsid w:val="00045E33"/>
    <w:rsid w:val="00053237"/>
    <w:rsid w:val="0005490C"/>
    <w:rsid w:val="0006019D"/>
    <w:rsid w:val="00060725"/>
    <w:rsid w:val="00061C1C"/>
    <w:rsid w:val="00061D58"/>
    <w:rsid w:val="00062C4A"/>
    <w:rsid w:val="00064E28"/>
    <w:rsid w:val="00064FBF"/>
    <w:rsid w:val="00065C1D"/>
    <w:rsid w:val="00066929"/>
    <w:rsid w:val="00067587"/>
    <w:rsid w:val="0007056A"/>
    <w:rsid w:val="0007617F"/>
    <w:rsid w:val="000772C8"/>
    <w:rsid w:val="00077DFF"/>
    <w:rsid w:val="00082BB2"/>
    <w:rsid w:val="0008346F"/>
    <w:rsid w:val="000862E2"/>
    <w:rsid w:val="00087245"/>
    <w:rsid w:val="000906EA"/>
    <w:rsid w:val="00096E64"/>
    <w:rsid w:val="000A07D8"/>
    <w:rsid w:val="000A1651"/>
    <w:rsid w:val="000A62BF"/>
    <w:rsid w:val="000A7110"/>
    <w:rsid w:val="000B1A80"/>
    <w:rsid w:val="000B5897"/>
    <w:rsid w:val="000C012F"/>
    <w:rsid w:val="000C17E2"/>
    <w:rsid w:val="000C27DB"/>
    <w:rsid w:val="000C5E0C"/>
    <w:rsid w:val="000C6AC1"/>
    <w:rsid w:val="000C7F87"/>
    <w:rsid w:val="000D08EE"/>
    <w:rsid w:val="000D41E2"/>
    <w:rsid w:val="000D7A7D"/>
    <w:rsid w:val="000E4FC4"/>
    <w:rsid w:val="000F0797"/>
    <w:rsid w:val="000F1D16"/>
    <w:rsid w:val="000F4898"/>
    <w:rsid w:val="000F5B87"/>
    <w:rsid w:val="0010052B"/>
    <w:rsid w:val="00103301"/>
    <w:rsid w:val="00104AF7"/>
    <w:rsid w:val="00107121"/>
    <w:rsid w:val="00107511"/>
    <w:rsid w:val="00107827"/>
    <w:rsid w:val="00107A63"/>
    <w:rsid w:val="0011075E"/>
    <w:rsid w:val="00113571"/>
    <w:rsid w:val="00120405"/>
    <w:rsid w:val="00125A14"/>
    <w:rsid w:val="0012790B"/>
    <w:rsid w:val="0013643C"/>
    <w:rsid w:val="001454DE"/>
    <w:rsid w:val="001516BD"/>
    <w:rsid w:val="00152AE1"/>
    <w:rsid w:val="00160278"/>
    <w:rsid w:val="00160EB3"/>
    <w:rsid w:val="0016375B"/>
    <w:rsid w:val="001654DE"/>
    <w:rsid w:val="00165BF2"/>
    <w:rsid w:val="00166B3B"/>
    <w:rsid w:val="00167082"/>
    <w:rsid w:val="0017062D"/>
    <w:rsid w:val="00172E83"/>
    <w:rsid w:val="00180BAB"/>
    <w:rsid w:val="00182BA1"/>
    <w:rsid w:val="001A2240"/>
    <w:rsid w:val="001A47DB"/>
    <w:rsid w:val="001A4ACA"/>
    <w:rsid w:val="001A4B6D"/>
    <w:rsid w:val="001A5007"/>
    <w:rsid w:val="001A51CE"/>
    <w:rsid w:val="001A5B64"/>
    <w:rsid w:val="001B3EB2"/>
    <w:rsid w:val="001B6BC7"/>
    <w:rsid w:val="001C3320"/>
    <w:rsid w:val="001C6BD1"/>
    <w:rsid w:val="001C72F7"/>
    <w:rsid w:val="001D0456"/>
    <w:rsid w:val="001D1161"/>
    <w:rsid w:val="001D47B7"/>
    <w:rsid w:val="001D69F8"/>
    <w:rsid w:val="001D7073"/>
    <w:rsid w:val="001E071F"/>
    <w:rsid w:val="001E355F"/>
    <w:rsid w:val="001F0E89"/>
    <w:rsid w:val="001F3680"/>
    <w:rsid w:val="0020111C"/>
    <w:rsid w:val="00201589"/>
    <w:rsid w:val="00203EE2"/>
    <w:rsid w:val="00205B05"/>
    <w:rsid w:val="00215A05"/>
    <w:rsid w:val="002215DB"/>
    <w:rsid w:val="00226349"/>
    <w:rsid w:val="00232053"/>
    <w:rsid w:val="00234C60"/>
    <w:rsid w:val="002442DB"/>
    <w:rsid w:val="00244B12"/>
    <w:rsid w:val="0025338F"/>
    <w:rsid w:val="00253441"/>
    <w:rsid w:val="00255920"/>
    <w:rsid w:val="002559A5"/>
    <w:rsid w:val="0025645F"/>
    <w:rsid w:val="0025652E"/>
    <w:rsid w:val="002569CB"/>
    <w:rsid w:val="002603CF"/>
    <w:rsid w:val="00261EC4"/>
    <w:rsid w:val="00263220"/>
    <w:rsid w:val="0026377D"/>
    <w:rsid w:val="00267F42"/>
    <w:rsid w:val="00272C2D"/>
    <w:rsid w:val="00280BFD"/>
    <w:rsid w:val="00281D48"/>
    <w:rsid w:val="002831BA"/>
    <w:rsid w:val="00285800"/>
    <w:rsid w:val="00286F14"/>
    <w:rsid w:val="00287DF3"/>
    <w:rsid w:val="00287E84"/>
    <w:rsid w:val="00287FA2"/>
    <w:rsid w:val="00290BAE"/>
    <w:rsid w:val="00290D9A"/>
    <w:rsid w:val="00290EF8"/>
    <w:rsid w:val="00291737"/>
    <w:rsid w:val="0029244E"/>
    <w:rsid w:val="002A328B"/>
    <w:rsid w:val="002A37BE"/>
    <w:rsid w:val="002A42C5"/>
    <w:rsid w:val="002B0604"/>
    <w:rsid w:val="002B1232"/>
    <w:rsid w:val="002B2DA9"/>
    <w:rsid w:val="002B2DB1"/>
    <w:rsid w:val="002B32AA"/>
    <w:rsid w:val="002B44BA"/>
    <w:rsid w:val="002B5013"/>
    <w:rsid w:val="002B5B05"/>
    <w:rsid w:val="002B6D29"/>
    <w:rsid w:val="002C5AFF"/>
    <w:rsid w:val="002C71B8"/>
    <w:rsid w:val="002D5133"/>
    <w:rsid w:val="002E3B99"/>
    <w:rsid w:val="002E6C2A"/>
    <w:rsid w:val="002F0C79"/>
    <w:rsid w:val="002F42BA"/>
    <w:rsid w:val="002F43C8"/>
    <w:rsid w:val="002F7321"/>
    <w:rsid w:val="003014A2"/>
    <w:rsid w:val="00310365"/>
    <w:rsid w:val="00310469"/>
    <w:rsid w:val="00311DC7"/>
    <w:rsid w:val="00313BE8"/>
    <w:rsid w:val="00314D49"/>
    <w:rsid w:val="0032001B"/>
    <w:rsid w:val="003230BF"/>
    <w:rsid w:val="00326047"/>
    <w:rsid w:val="00326B73"/>
    <w:rsid w:val="003273D7"/>
    <w:rsid w:val="00330B41"/>
    <w:rsid w:val="003323B8"/>
    <w:rsid w:val="00335A38"/>
    <w:rsid w:val="0033629E"/>
    <w:rsid w:val="003372A1"/>
    <w:rsid w:val="00337977"/>
    <w:rsid w:val="003421B7"/>
    <w:rsid w:val="00343FD6"/>
    <w:rsid w:val="00350B1A"/>
    <w:rsid w:val="003519BB"/>
    <w:rsid w:val="00353545"/>
    <w:rsid w:val="0035518F"/>
    <w:rsid w:val="00355EF0"/>
    <w:rsid w:val="00360CEC"/>
    <w:rsid w:val="00361FAE"/>
    <w:rsid w:val="00364399"/>
    <w:rsid w:val="00365E7B"/>
    <w:rsid w:val="003718C3"/>
    <w:rsid w:val="00376072"/>
    <w:rsid w:val="00382AD0"/>
    <w:rsid w:val="00383E55"/>
    <w:rsid w:val="00384C38"/>
    <w:rsid w:val="00385CE4"/>
    <w:rsid w:val="00385E45"/>
    <w:rsid w:val="00392EDF"/>
    <w:rsid w:val="0039407E"/>
    <w:rsid w:val="00394320"/>
    <w:rsid w:val="003A0A8A"/>
    <w:rsid w:val="003A5FE6"/>
    <w:rsid w:val="003B1540"/>
    <w:rsid w:val="003B34CF"/>
    <w:rsid w:val="003B4477"/>
    <w:rsid w:val="003B6DA8"/>
    <w:rsid w:val="003B7E3D"/>
    <w:rsid w:val="003C13F4"/>
    <w:rsid w:val="003C31F8"/>
    <w:rsid w:val="003C5962"/>
    <w:rsid w:val="003C7773"/>
    <w:rsid w:val="003D2437"/>
    <w:rsid w:val="003D37DF"/>
    <w:rsid w:val="003D6335"/>
    <w:rsid w:val="003E16D9"/>
    <w:rsid w:val="003E26FD"/>
    <w:rsid w:val="003E337E"/>
    <w:rsid w:val="003E3D25"/>
    <w:rsid w:val="003F07FA"/>
    <w:rsid w:val="003F0F4B"/>
    <w:rsid w:val="003F7947"/>
    <w:rsid w:val="004011F6"/>
    <w:rsid w:val="00401F2A"/>
    <w:rsid w:val="00402015"/>
    <w:rsid w:val="00404AF0"/>
    <w:rsid w:val="00410399"/>
    <w:rsid w:val="00411665"/>
    <w:rsid w:val="00416CFA"/>
    <w:rsid w:val="004171E0"/>
    <w:rsid w:val="00421706"/>
    <w:rsid w:val="004224FA"/>
    <w:rsid w:val="004234BE"/>
    <w:rsid w:val="00425BFD"/>
    <w:rsid w:val="004319A3"/>
    <w:rsid w:val="004326A5"/>
    <w:rsid w:val="0043377E"/>
    <w:rsid w:val="0043383F"/>
    <w:rsid w:val="00437388"/>
    <w:rsid w:val="004376D7"/>
    <w:rsid w:val="00437F91"/>
    <w:rsid w:val="004434EA"/>
    <w:rsid w:val="004478A1"/>
    <w:rsid w:val="00450ADD"/>
    <w:rsid w:val="004531AE"/>
    <w:rsid w:val="00454988"/>
    <w:rsid w:val="00455892"/>
    <w:rsid w:val="00456169"/>
    <w:rsid w:val="004567D5"/>
    <w:rsid w:val="004608B5"/>
    <w:rsid w:val="004642D6"/>
    <w:rsid w:val="00467C43"/>
    <w:rsid w:val="004718FB"/>
    <w:rsid w:val="00475164"/>
    <w:rsid w:val="004764C9"/>
    <w:rsid w:val="00480BC9"/>
    <w:rsid w:val="00483EA3"/>
    <w:rsid w:val="00483EDD"/>
    <w:rsid w:val="004870D4"/>
    <w:rsid w:val="00497198"/>
    <w:rsid w:val="004A6792"/>
    <w:rsid w:val="004A71E1"/>
    <w:rsid w:val="004A7596"/>
    <w:rsid w:val="004A7A7A"/>
    <w:rsid w:val="004B068B"/>
    <w:rsid w:val="004B0959"/>
    <w:rsid w:val="004B220D"/>
    <w:rsid w:val="004B249B"/>
    <w:rsid w:val="004B2637"/>
    <w:rsid w:val="004B32C2"/>
    <w:rsid w:val="004B5C94"/>
    <w:rsid w:val="004B694E"/>
    <w:rsid w:val="004B69BD"/>
    <w:rsid w:val="004C33BB"/>
    <w:rsid w:val="004C7FF3"/>
    <w:rsid w:val="004D696B"/>
    <w:rsid w:val="004E011A"/>
    <w:rsid w:val="004E24E9"/>
    <w:rsid w:val="004E35C5"/>
    <w:rsid w:val="004E4067"/>
    <w:rsid w:val="004E7952"/>
    <w:rsid w:val="004F5888"/>
    <w:rsid w:val="00500994"/>
    <w:rsid w:val="005020B5"/>
    <w:rsid w:val="005038D9"/>
    <w:rsid w:val="00503CD9"/>
    <w:rsid w:val="005105F0"/>
    <w:rsid w:val="00510E5B"/>
    <w:rsid w:val="00514955"/>
    <w:rsid w:val="00515ABF"/>
    <w:rsid w:val="00516B89"/>
    <w:rsid w:val="005228D7"/>
    <w:rsid w:val="00523082"/>
    <w:rsid w:val="00523A8B"/>
    <w:rsid w:val="005325B0"/>
    <w:rsid w:val="00533665"/>
    <w:rsid w:val="00536338"/>
    <w:rsid w:val="00536BC8"/>
    <w:rsid w:val="00541A34"/>
    <w:rsid w:val="00545597"/>
    <w:rsid w:val="0055173B"/>
    <w:rsid w:val="00551DBB"/>
    <w:rsid w:val="00551F77"/>
    <w:rsid w:val="00556DEB"/>
    <w:rsid w:val="0055707C"/>
    <w:rsid w:val="00557EA3"/>
    <w:rsid w:val="00560025"/>
    <w:rsid w:val="00560E70"/>
    <w:rsid w:val="005647BA"/>
    <w:rsid w:val="00565B95"/>
    <w:rsid w:val="00567923"/>
    <w:rsid w:val="005702BE"/>
    <w:rsid w:val="00572334"/>
    <w:rsid w:val="00572F01"/>
    <w:rsid w:val="00572F16"/>
    <w:rsid w:val="00575EBC"/>
    <w:rsid w:val="00576FF3"/>
    <w:rsid w:val="005817C1"/>
    <w:rsid w:val="00590CC7"/>
    <w:rsid w:val="00591793"/>
    <w:rsid w:val="005924F5"/>
    <w:rsid w:val="00597981"/>
    <w:rsid w:val="00597CE5"/>
    <w:rsid w:val="005A352C"/>
    <w:rsid w:val="005A4D4D"/>
    <w:rsid w:val="005A5D4B"/>
    <w:rsid w:val="005A7AF4"/>
    <w:rsid w:val="005B03C5"/>
    <w:rsid w:val="005B5125"/>
    <w:rsid w:val="005B6667"/>
    <w:rsid w:val="005C24D2"/>
    <w:rsid w:val="005C6A80"/>
    <w:rsid w:val="005D2967"/>
    <w:rsid w:val="005D4706"/>
    <w:rsid w:val="005D587F"/>
    <w:rsid w:val="005D6636"/>
    <w:rsid w:val="005D6FCF"/>
    <w:rsid w:val="005E1241"/>
    <w:rsid w:val="005E40CA"/>
    <w:rsid w:val="005E4EFE"/>
    <w:rsid w:val="005F2660"/>
    <w:rsid w:val="006015EA"/>
    <w:rsid w:val="00601F87"/>
    <w:rsid w:val="00603BA3"/>
    <w:rsid w:val="0060765B"/>
    <w:rsid w:val="006135D8"/>
    <w:rsid w:val="006142DC"/>
    <w:rsid w:val="00614E83"/>
    <w:rsid w:val="006170A3"/>
    <w:rsid w:val="00620DC4"/>
    <w:rsid w:val="00623896"/>
    <w:rsid w:val="00627023"/>
    <w:rsid w:val="006300D6"/>
    <w:rsid w:val="00633D46"/>
    <w:rsid w:val="006343EB"/>
    <w:rsid w:val="006418A4"/>
    <w:rsid w:val="00647F15"/>
    <w:rsid w:val="00651F6D"/>
    <w:rsid w:val="00653C35"/>
    <w:rsid w:val="00654462"/>
    <w:rsid w:val="006560E5"/>
    <w:rsid w:val="0066298E"/>
    <w:rsid w:val="00663426"/>
    <w:rsid w:val="006655AF"/>
    <w:rsid w:val="006656A2"/>
    <w:rsid w:val="00665C5B"/>
    <w:rsid w:val="00667CA9"/>
    <w:rsid w:val="006718F9"/>
    <w:rsid w:val="00671F48"/>
    <w:rsid w:val="0067234A"/>
    <w:rsid w:val="00676D63"/>
    <w:rsid w:val="0068074E"/>
    <w:rsid w:val="00680F84"/>
    <w:rsid w:val="006825D1"/>
    <w:rsid w:val="006839FC"/>
    <w:rsid w:val="006873B1"/>
    <w:rsid w:val="00690398"/>
    <w:rsid w:val="006917C1"/>
    <w:rsid w:val="00693660"/>
    <w:rsid w:val="006962DC"/>
    <w:rsid w:val="006972EB"/>
    <w:rsid w:val="006977AB"/>
    <w:rsid w:val="006977E4"/>
    <w:rsid w:val="006A2E11"/>
    <w:rsid w:val="006A522B"/>
    <w:rsid w:val="006B1C42"/>
    <w:rsid w:val="006B5B22"/>
    <w:rsid w:val="006C1246"/>
    <w:rsid w:val="006C4891"/>
    <w:rsid w:val="006D09DE"/>
    <w:rsid w:val="006D179C"/>
    <w:rsid w:val="006D57BD"/>
    <w:rsid w:val="006D7207"/>
    <w:rsid w:val="006D7680"/>
    <w:rsid w:val="006E0BD4"/>
    <w:rsid w:val="006E0E08"/>
    <w:rsid w:val="006E1BD3"/>
    <w:rsid w:val="006E59C9"/>
    <w:rsid w:val="006E7AC0"/>
    <w:rsid w:val="006F4410"/>
    <w:rsid w:val="006F4AD8"/>
    <w:rsid w:val="006F510F"/>
    <w:rsid w:val="006F6A13"/>
    <w:rsid w:val="0070050E"/>
    <w:rsid w:val="00701DEE"/>
    <w:rsid w:val="00706581"/>
    <w:rsid w:val="00707CB3"/>
    <w:rsid w:val="007125A5"/>
    <w:rsid w:val="00714459"/>
    <w:rsid w:val="007145CF"/>
    <w:rsid w:val="00714AFA"/>
    <w:rsid w:val="00715795"/>
    <w:rsid w:val="007167C8"/>
    <w:rsid w:val="007203CD"/>
    <w:rsid w:val="00721B9E"/>
    <w:rsid w:val="007226C9"/>
    <w:rsid w:val="00727B95"/>
    <w:rsid w:val="00731164"/>
    <w:rsid w:val="007313EE"/>
    <w:rsid w:val="0073236C"/>
    <w:rsid w:val="00734BED"/>
    <w:rsid w:val="00737EBF"/>
    <w:rsid w:val="00742763"/>
    <w:rsid w:val="00742F5B"/>
    <w:rsid w:val="00745578"/>
    <w:rsid w:val="007467F2"/>
    <w:rsid w:val="00756F2A"/>
    <w:rsid w:val="00765978"/>
    <w:rsid w:val="00771C53"/>
    <w:rsid w:val="007726A3"/>
    <w:rsid w:val="00783AAB"/>
    <w:rsid w:val="00783CA4"/>
    <w:rsid w:val="0079135E"/>
    <w:rsid w:val="00791EA8"/>
    <w:rsid w:val="00793154"/>
    <w:rsid w:val="00797CB5"/>
    <w:rsid w:val="007A0207"/>
    <w:rsid w:val="007A0358"/>
    <w:rsid w:val="007A1AD3"/>
    <w:rsid w:val="007A411D"/>
    <w:rsid w:val="007A4254"/>
    <w:rsid w:val="007A4B0B"/>
    <w:rsid w:val="007B3643"/>
    <w:rsid w:val="007B3D6B"/>
    <w:rsid w:val="007B4916"/>
    <w:rsid w:val="007B514A"/>
    <w:rsid w:val="007B6939"/>
    <w:rsid w:val="007B69DB"/>
    <w:rsid w:val="007B7032"/>
    <w:rsid w:val="007C5C2A"/>
    <w:rsid w:val="007C7A41"/>
    <w:rsid w:val="007D1770"/>
    <w:rsid w:val="007D30EC"/>
    <w:rsid w:val="007D356E"/>
    <w:rsid w:val="007E0AF7"/>
    <w:rsid w:val="007E7416"/>
    <w:rsid w:val="007F1AFC"/>
    <w:rsid w:val="007F1D21"/>
    <w:rsid w:val="007F2AA7"/>
    <w:rsid w:val="007F3C28"/>
    <w:rsid w:val="007F4325"/>
    <w:rsid w:val="007F6D23"/>
    <w:rsid w:val="00805E1A"/>
    <w:rsid w:val="00810DD6"/>
    <w:rsid w:val="008147E4"/>
    <w:rsid w:val="0082079E"/>
    <w:rsid w:val="00820ED6"/>
    <w:rsid w:val="00822E8D"/>
    <w:rsid w:val="008259F5"/>
    <w:rsid w:val="008263DE"/>
    <w:rsid w:val="00826D01"/>
    <w:rsid w:val="00832BE3"/>
    <w:rsid w:val="00834861"/>
    <w:rsid w:val="00842AF1"/>
    <w:rsid w:val="00844834"/>
    <w:rsid w:val="0084496C"/>
    <w:rsid w:val="00846ABF"/>
    <w:rsid w:val="00846F94"/>
    <w:rsid w:val="00852C76"/>
    <w:rsid w:val="00853325"/>
    <w:rsid w:val="00853384"/>
    <w:rsid w:val="00853BDF"/>
    <w:rsid w:val="00853E41"/>
    <w:rsid w:val="00854B89"/>
    <w:rsid w:val="008554D9"/>
    <w:rsid w:val="00857460"/>
    <w:rsid w:val="00857A40"/>
    <w:rsid w:val="00860C8F"/>
    <w:rsid w:val="00862753"/>
    <w:rsid w:val="00863D2B"/>
    <w:rsid w:val="00865CCC"/>
    <w:rsid w:val="00865FD3"/>
    <w:rsid w:val="00866284"/>
    <w:rsid w:val="00867C66"/>
    <w:rsid w:val="00867FCC"/>
    <w:rsid w:val="00872414"/>
    <w:rsid w:val="00872BD5"/>
    <w:rsid w:val="0087464A"/>
    <w:rsid w:val="00875E8E"/>
    <w:rsid w:val="008766E3"/>
    <w:rsid w:val="008848B0"/>
    <w:rsid w:val="00891649"/>
    <w:rsid w:val="008917A7"/>
    <w:rsid w:val="0089299F"/>
    <w:rsid w:val="00895259"/>
    <w:rsid w:val="008A2217"/>
    <w:rsid w:val="008A43AC"/>
    <w:rsid w:val="008B7DBF"/>
    <w:rsid w:val="008B7E5B"/>
    <w:rsid w:val="008C02CD"/>
    <w:rsid w:val="008C5589"/>
    <w:rsid w:val="008C62D3"/>
    <w:rsid w:val="008C6C37"/>
    <w:rsid w:val="008D3A9B"/>
    <w:rsid w:val="008D55A6"/>
    <w:rsid w:val="008D586B"/>
    <w:rsid w:val="008E6524"/>
    <w:rsid w:val="008F25DA"/>
    <w:rsid w:val="008F2780"/>
    <w:rsid w:val="008F37B6"/>
    <w:rsid w:val="00900C37"/>
    <w:rsid w:val="00906733"/>
    <w:rsid w:val="00914EBF"/>
    <w:rsid w:val="00915F87"/>
    <w:rsid w:val="00916A5C"/>
    <w:rsid w:val="0093083D"/>
    <w:rsid w:val="00932217"/>
    <w:rsid w:val="00932481"/>
    <w:rsid w:val="00932E42"/>
    <w:rsid w:val="0093527F"/>
    <w:rsid w:val="00936045"/>
    <w:rsid w:val="0093773B"/>
    <w:rsid w:val="00937D26"/>
    <w:rsid w:val="00945A05"/>
    <w:rsid w:val="0094622B"/>
    <w:rsid w:val="00950CE1"/>
    <w:rsid w:val="00956D65"/>
    <w:rsid w:val="00962828"/>
    <w:rsid w:val="00964776"/>
    <w:rsid w:val="00970D20"/>
    <w:rsid w:val="00974576"/>
    <w:rsid w:val="0097463E"/>
    <w:rsid w:val="009773BA"/>
    <w:rsid w:val="009800EE"/>
    <w:rsid w:val="0098199F"/>
    <w:rsid w:val="009823B2"/>
    <w:rsid w:val="00990C84"/>
    <w:rsid w:val="00991E9F"/>
    <w:rsid w:val="0099279E"/>
    <w:rsid w:val="009A1152"/>
    <w:rsid w:val="009A2E3A"/>
    <w:rsid w:val="009A52FB"/>
    <w:rsid w:val="009B245E"/>
    <w:rsid w:val="009D3DD9"/>
    <w:rsid w:val="009D7CCB"/>
    <w:rsid w:val="009E110C"/>
    <w:rsid w:val="009E7B2D"/>
    <w:rsid w:val="009F1FCE"/>
    <w:rsid w:val="009F538A"/>
    <w:rsid w:val="009F64F0"/>
    <w:rsid w:val="00A0003B"/>
    <w:rsid w:val="00A03805"/>
    <w:rsid w:val="00A0522C"/>
    <w:rsid w:val="00A10BCC"/>
    <w:rsid w:val="00A1221C"/>
    <w:rsid w:val="00A1460B"/>
    <w:rsid w:val="00A1744C"/>
    <w:rsid w:val="00A20AAE"/>
    <w:rsid w:val="00A364DA"/>
    <w:rsid w:val="00A4376A"/>
    <w:rsid w:val="00A473C0"/>
    <w:rsid w:val="00A47D1F"/>
    <w:rsid w:val="00A577AF"/>
    <w:rsid w:val="00A604A6"/>
    <w:rsid w:val="00A7215D"/>
    <w:rsid w:val="00A73BBF"/>
    <w:rsid w:val="00A73D62"/>
    <w:rsid w:val="00A75B8C"/>
    <w:rsid w:val="00A820CC"/>
    <w:rsid w:val="00A82207"/>
    <w:rsid w:val="00A82A0D"/>
    <w:rsid w:val="00A85ADF"/>
    <w:rsid w:val="00A9220E"/>
    <w:rsid w:val="00A959D0"/>
    <w:rsid w:val="00A95CFC"/>
    <w:rsid w:val="00AA1B04"/>
    <w:rsid w:val="00AA1BCC"/>
    <w:rsid w:val="00AA5DDA"/>
    <w:rsid w:val="00AB10AA"/>
    <w:rsid w:val="00AB688B"/>
    <w:rsid w:val="00AC09F1"/>
    <w:rsid w:val="00AC2796"/>
    <w:rsid w:val="00AC354F"/>
    <w:rsid w:val="00AC3574"/>
    <w:rsid w:val="00AC5A73"/>
    <w:rsid w:val="00AC7890"/>
    <w:rsid w:val="00AD0525"/>
    <w:rsid w:val="00AD5EFB"/>
    <w:rsid w:val="00AD61C1"/>
    <w:rsid w:val="00AD7A1A"/>
    <w:rsid w:val="00AE0388"/>
    <w:rsid w:val="00AE315E"/>
    <w:rsid w:val="00AE5CA0"/>
    <w:rsid w:val="00AF03BE"/>
    <w:rsid w:val="00AF1206"/>
    <w:rsid w:val="00AF1577"/>
    <w:rsid w:val="00AF336B"/>
    <w:rsid w:val="00AF5A0D"/>
    <w:rsid w:val="00B120BE"/>
    <w:rsid w:val="00B12F83"/>
    <w:rsid w:val="00B137D4"/>
    <w:rsid w:val="00B16B31"/>
    <w:rsid w:val="00B21E55"/>
    <w:rsid w:val="00B22FFC"/>
    <w:rsid w:val="00B23F4E"/>
    <w:rsid w:val="00B25933"/>
    <w:rsid w:val="00B3064A"/>
    <w:rsid w:val="00B32A27"/>
    <w:rsid w:val="00B40AFA"/>
    <w:rsid w:val="00B46096"/>
    <w:rsid w:val="00B51DCE"/>
    <w:rsid w:val="00B542E4"/>
    <w:rsid w:val="00B55937"/>
    <w:rsid w:val="00B56DFE"/>
    <w:rsid w:val="00B56F26"/>
    <w:rsid w:val="00B57D9F"/>
    <w:rsid w:val="00B65673"/>
    <w:rsid w:val="00B70E31"/>
    <w:rsid w:val="00B747D4"/>
    <w:rsid w:val="00B752F8"/>
    <w:rsid w:val="00B76A9C"/>
    <w:rsid w:val="00B80D37"/>
    <w:rsid w:val="00B8218B"/>
    <w:rsid w:val="00B93EE8"/>
    <w:rsid w:val="00B94856"/>
    <w:rsid w:val="00B96FEA"/>
    <w:rsid w:val="00BA035F"/>
    <w:rsid w:val="00BA1A62"/>
    <w:rsid w:val="00BB5E66"/>
    <w:rsid w:val="00BC14D2"/>
    <w:rsid w:val="00BC3D3E"/>
    <w:rsid w:val="00BC3FC3"/>
    <w:rsid w:val="00BC41B4"/>
    <w:rsid w:val="00BC54D9"/>
    <w:rsid w:val="00BC57FD"/>
    <w:rsid w:val="00BD167E"/>
    <w:rsid w:val="00BD16DB"/>
    <w:rsid w:val="00BD295E"/>
    <w:rsid w:val="00BD5C16"/>
    <w:rsid w:val="00BE5702"/>
    <w:rsid w:val="00BE7AE9"/>
    <w:rsid w:val="00BF1F4F"/>
    <w:rsid w:val="00BF392E"/>
    <w:rsid w:val="00C00024"/>
    <w:rsid w:val="00C01271"/>
    <w:rsid w:val="00C02DDD"/>
    <w:rsid w:val="00C05CDA"/>
    <w:rsid w:val="00C06640"/>
    <w:rsid w:val="00C06DB3"/>
    <w:rsid w:val="00C07380"/>
    <w:rsid w:val="00C074F9"/>
    <w:rsid w:val="00C152BD"/>
    <w:rsid w:val="00C15AF0"/>
    <w:rsid w:val="00C16963"/>
    <w:rsid w:val="00C16BDE"/>
    <w:rsid w:val="00C172E9"/>
    <w:rsid w:val="00C223E1"/>
    <w:rsid w:val="00C23AAD"/>
    <w:rsid w:val="00C249AB"/>
    <w:rsid w:val="00C26170"/>
    <w:rsid w:val="00C26E54"/>
    <w:rsid w:val="00C31EE3"/>
    <w:rsid w:val="00C32F9E"/>
    <w:rsid w:val="00C3474C"/>
    <w:rsid w:val="00C50841"/>
    <w:rsid w:val="00C5177A"/>
    <w:rsid w:val="00C52B14"/>
    <w:rsid w:val="00C5352B"/>
    <w:rsid w:val="00C5433D"/>
    <w:rsid w:val="00C62B9D"/>
    <w:rsid w:val="00C650A8"/>
    <w:rsid w:val="00C665AC"/>
    <w:rsid w:val="00C71557"/>
    <w:rsid w:val="00C7170B"/>
    <w:rsid w:val="00C8095F"/>
    <w:rsid w:val="00C820E3"/>
    <w:rsid w:val="00C83CE9"/>
    <w:rsid w:val="00C877FB"/>
    <w:rsid w:val="00C87C0B"/>
    <w:rsid w:val="00C91416"/>
    <w:rsid w:val="00C9326A"/>
    <w:rsid w:val="00C95119"/>
    <w:rsid w:val="00CA195D"/>
    <w:rsid w:val="00CA2CE5"/>
    <w:rsid w:val="00CA7C29"/>
    <w:rsid w:val="00CA7D59"/>
    <w:rsid w:val="00CB56C6"/>
    <w:rsid w:val="00CB6A41"/>
    <w:rsid w:val="00CB7C98"/>
    <w:rsid w:val="00CC0A3A"/>
    <w:rsid w:val="00CC1405"/>
    <w:rsid w:val="00CC1459"/>
    <w:rsid w:val="00CC1873"/>
    <w:rsid w:val="00CC34D3"/>
    <w:rsid w:val="00CC4E81"/>
    <w:rsid w:val="00CC7AF9"/>
    <w:rsid w:val="00CD0B07"/>
    <w:rsid w:val="00CD1504"/>
    <w:rsid w:val="00CE1E1F"/>
    <w:rsid w:val="00CE3C83"/>
    <w:rsid w:val="00CE418F"/>
    <w:rsid w:val="00CE4407"/>
    <w:rsid w:val="00CF0028"/>
    <w:rsid w:val="00CF00A4"/>
    <w:rsid w:val="00CF0E57"/>
    <w:rsid w:val="00CF172F"/>
    <w:rsid w:val="00CF5A6E"/>
    <w:rsid w:val="00CF6402"/>
    <w:rsid w:val="00CF6657"/>
    <w:rsid w:val="00CF6B6A"/>
    <w:rsid w:val="00D00CA2"/>
    <w:rsid w:val="00D013CE"/>
    <w:rsid w:val="00D02220"/>
    <w:rsid w:val="00D077AC"/>
    <w:rsid w:val="00D10E37"/>
    <w:rsid w:val="00D127D2"/>
    <w:rsid w:val="00D12E79"/>
    <w:rsid w:val="00D162F4"/>
    <w:rsid w:val="00D16A89"/>
    <w:rsid w:val="00D173E1"/>
    <w:rsid w:val="00D17C0C"/>
    <w:rsid w:val="00D2191D"/>
    <w:rsid w:val="00D234DF"/>
    <w:rsid w:val="00D3171B"/>
    <w:rsid w:val="00D320E2"/>
    <w:rsid w:val="00D356F7"/>
    <w:rsid w:val="00D40946"/>
    <w:rsid w:val="00D411F6"/>
    <w:rsid w:val="00D42809"/>
    <w:rsid w:val="00D4353A"/>
    <w:rsid w:val="00D4398D"/>
    <w:rsid w:val="00D466DC"/>
    <w:rsid w:val="00D5144E"/>
    <w:rsid w:val="00D53187"/>
    <w:rsid w:val="00D55B77"/>
    <w:rsid w:val="00D56400"/>
    <w:rsid w:val="00D56D57"/>
    <w:rsid w:val="00D56E34"/>
    <w:rsid w:val="00D60FA2"/>
    <w:rsid w:val="00D6242B"/>
    <w:rsid w:val="00D63EC3"/>
    <w:rsid w:val="00D65F30"/>
    <w:rsid w:val="00D667BF"/>
    <w:rsid w:val="00D67140"/>
    <w:rsid w:val="00D721BD"/>
    <w:rsid w:val="00D74B40"/>
    <w:rsid w:val="00D74C7F"/>
    <w:rsid w:val="00D74E3F"/>
    <w:rsid w:val="00D757F7"/>
    <w:rsid w:val="00D8416F"/>
    <w:rsid w:val="00D8657E"/>
    <w:rsid w:val="00D87C24"/>
    <w:rsid w:val="00D9089B"/>
    <w:rsid w:val="00D90CA6"/>
    <w:rsid w:val="00D9216A"/>
    <w:rsid w:val="00D925C9"/>
    <w:rsid w:val="00DA0C03"/>
    <w:rsid w:val="00DA4251"/>
    <w:rsid w:val="00DA7C8F"/>
    <w:rsid w:val="00DA7CA6"/>
    <w:rsid w:val="00DB0C14"/>
    <w:rsid w:val="00DB38F3"/>
    <w:rsid w:val="00DB400E"/>
    <w:rsid w:val="00DB5229"/>
    <w:rsid w:val="00DB5949"/>
    <w:rsid w:val="00DB649F"/>
    <w:rsid w:val="00DB6C00"/>
    <w:rsid w:val="00DB7790"/>
    <w:rsid w:val="00DC0091"/>
    <w:rsid w:val="00DC18CD"/>
    <w:rsid w:val="00DC512D"/>
    <w:rsid w:val="00DC586B"/>
    <w:rsid w:val="00DC6511"/>
    <w:rsid w:val="00DC663A"/>
    <w:rsid w:val="00DC7839"/>
    <w:rsid w:val="00DC7CF5"/>
    <w:rsid w:val="00DD02DC"/>
    <w:rsid w:val="00DD2B72"/>
    <w:rsid w:val="00DD5F39"/>
    <w:rsid w:val="00DD6D24"/>
    <w:rsid w:val="00DD7756"/>
    <w:rsid w:val="00DE005B"/>
    <w:rsid w:val="00DE2883"/>
    <w:rsid w:val="00DE4D7A"/>
    <w:rsid w:val="00DF1F1E"/>
    <w:rsid w:val="00DF2835"/>
    <w:rsid w:val="00DF2F45"/>
    <w:rsid w:val="00DF4ABB"/>
    <w:rsid w:val="00DF602C"/>
    <w:rsid w:val="00E01B69"/>
    <w:rsid w:val="00E021CD"/>
    <w:rsid w:val="00E037FA"/>
    <w:rsid w:val="00E047AF"/>
    <w:rsid w:val="00E04BB4"/>
    <w:rsid w:val="00E07115"/>
    <w:rsid w:val="00E07A8A"/>
    <w:rsid w:val="00E13E92"/>
    <w:rsid w:val="00E14884"/>
    <w:rsid w:val="00E160D3"/>
    <w:rsid w:val="00E20419"/>
    <w:rsid w:val="00E20CFC"/>
    <w:rsid w:val="00E23702"/>
    <w:rsid w:val="00E24AB8"/>
    <w:rsid w:val="00E27368"/>
    <w:rsid w:val="00E275C8"/>
    <w:rsid w:val="00E3030F"/>
    <w:rsid w:val="00E32B26"/>
    <w:rsid w:val="00E34C49"/>
    <w:rsid w:val="00E369B8"/>
    <w:rsid w:val="00E4032F"/>
    <w:rsid w:val="00E41125"/>
    <w:rsid w:val="00E427F4"/>
    <w:rsid w:val="00E45B0A"/>
    <w:rsid w:val="00E54C40"/>
    <w:rsid w:val="00E56944"/>
    <w:rsid w:val="00E61CAD"/>
    <w:rsid w:val="00E62BFE"/>
    <w:rsid w:val="00E67569"/>
    <w:rsid w:val="00E71C26"/>
    <w:rsid w:val="00E71FE5"/>
    <w:rsid w:val="00E728E7"/>
    <w:rsid w:val="00E72BAA"/>
    <w:rsid w:val="00E73684"/>
    <w:rsid w:val="00E76253"/>
    <w:rsid w:val="00E77916"/>
    <w:rsid w:val="00E8222D"/>
    <w:rsid w:val="00E83AFF"/>
    <w:rsid w:val="00E8668B"/>
    <w:rsid w:val="00E92CB8"/>
    <w:rsid w:val="00E9544E"/>
    <w:rsid w:val="00E9764A"/>
    <w:rsid w:val="00EA1A29"/>
    <w:rsid w:val="00EA2E88"/>
    <w:rsid w:val="00EA4E01"/>
    <w:rsid w:val="00EB0306"/>
    <w:rsid w:val="00EB0C85"/>
    <w:rsid w:val="00EB0D5C"/>
    <w:rsid w:val="00EB38C0"/>
    <w:rsid w:val="00EB5E09"/>
    <w:rsid w:val="00EB6B73"/>
    <w:rsid w:val="00EC4DE2"/>
    <w:rsid w:val="00ED1616"/>
    <w:rsid w:val="00ED5624"/>
    <w:rsid w:val="00ED6F68"/>
    <w:rsid w:val="00EE4680"/>
    <w:rsid w:val="00EE4D7C"/>
    <w:rsid w:val="00EF0443"/>
    <w:rsid w:val="00EF54C6"/>
    <w:rsid w:val="00EF560B"/>
    <w:rsid w:val="00EF59F9"/>
    <w:rsid w:val="00F01182"/>
    <w:rsid w:val="00F03B10"/>
    <w:rsid w:val="00F03B80"/>
    <w:rsid w:val="00F10019"/>
    <w:rsid w:val="00F10E14"/>
    <w:rsid w:val="00F15013"/>
    <w:rsid w:val="00F2017B"/>
    <w:rsid w:val="00F209E1"/>
    <w:rsid w:val="00F24076"/>
    <w:rsid w:val="00F43CB1"/>
    <w:rsid w:val="00F44250"/>
    <w:rsid w:val="00F51E7A"/>
    <w:rsid w:val="00F5444B"/>
    <w:rsid w:val="00F61BD6"/>
    <w:rsid w:val="00F645A1"/>
    <w:rsid w:val="00F65BA7"/>
    <w:rsid w:val="00F66747"/>
    <w:rsid w:val="00F701BB"/>
    <w:rsid w:val="00F7401B"/>
    <w:rsid w:val="00F750F5"/>
    <w:rsid w:val="00F75892"/>
    <w:rsid w:val="00F75A45"/>
    <w:rsid w:val="00F75B3A"/>
    <w:rsid w:val="00F82B70"/>
    <w:rsid w:val="00F85830"/>
    <w:rsid w:val="00F85D8A"/>
    <w:rsid w:val="00F8687A"/>
    <w:rsid w:val="00F91DEE"/>
    <w:rsid w:val="00FA0A37"/>
    <w:rsid w:val="00FA2861"/>
    <w:rsid w:val="00FA2FB6"/>
    <w:rsid w:val="00FA2FFC"/>
    <w:rsid w:val="00FA3D77"/>
    <w:rsid w:val="00FA6484"/>
    <w:rsid w:val="00FA69D0"/>
    <w:rsid w:val="00FA725D"/>
    <w:rsid w:val="00FB0CD9"/>
    <w:rsid w:val="00FB1A65"/>
    <w:rsid w:val="00FB61AA"/>
    <w:rsid w:val="00FB72E6"/>
    <w:rsid w:val="00FB754E"/>
    <w:rsid w:val="00FC08F2"/>
    <w:rsid w:val="00FC1859"/>
    <w:rsid w:val="00FC307C"/>
    <w:rsid w:val="00FC3AF4"/>
    <w:rsid w:val="00FC52A0"/>
    <w:rsid w:val="00FC7237"/>
    <w:rsid w:val="00FC7E63"/>
    <w:rsid w:val="00FD4EFC"/>
    <w:rsid w:val="00FD64E9"/>
    <w:rsid w:val="00FD68A1"/>
    <w:rsid w:val="00FD6AEE"/>
    <w:rsid w:val="00FE2358"/>
    <w:rsid w:val="00FE2BCB"/>
    <w:rsid w:val="00FE32C4"/>
    <w:rsid w:val="00FE4713"/>
    <w:rsid w:val="00FE6C0F"/>
    <w:rsid w:val="00FE7285"/>
    <w:rsid w:val="00FF1855"/>
    <w:rsid w:val="00FF23CA"/>
    <w:rsid w:val="00FF2E7C"/>
    <w:rsid w:val="00FF3C36"/>
    <w:rsid w:val="00FF7600"/>
    <w:rsid w:val="00FF7A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336EDC"/>
  <w15:docId w15:val="{55A9B0FE-27C5-4BCE-8CB3-987EE67F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7C98"/>
    <w:rPr>
      <w:lang w:val="pt-BR" w:eastAsia="ko-KR"/>
    </w:rPr>
  </w:style>
  <w:style w:type="paragraph" w:styleId="berschrift1">
    <w:name w:val="heading 1"/>
    <w:basedOn w:val="Standard"/>
    <w:next w:val="Standard"/>
    <w:link w:val="berschrift1Zchn"/>
    <w:uiPriority w:val="9"/>
    <w:qFormat/>
    <w:rsid w:val="00867C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867C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867C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dro">
    <w:name w:val="Padrão"/>
    <w:rsid w:val="00383E55"/>
    <w:pPr>
      <w:suppressAutoHyphens/>
    </w:pPr>
    <w:rPr>
      <w:rFonts w:ascii="Segoe UI" w:eastAsia="Times New Roman" w:hAnsi="Segoe UI" w:cs="Segoe UI"/>
      <w:color w:val="000000"/>
      <w:sz w:val="24"/>
      <w:szCs w:val="24"/>
      <w:lang w:val="de-DE"/>
    </w:rPr>
  </w:style>
  <w:style w:type="paragraph" w:customStyle="1" w:styleId="Ttulo11">
    <w:name w:val="Título 11"/>
    <w:basedOn w:val="Padro"/>
    <w:next w:val="Corpodetexto1"/>
    <w:rsid w:val="00383E55"/>
    <w:pPr>
      <w:keepNext/>
      <w:numPr>
        <w:numId w:val="1"/>
      </w:numPr>
      <w:overflowPunct w:val="0"/>
      <w:spacing w:after="0" w:line="100" w:lineRule="atLeast"/>
      <w:textAlignment w:val="baseline"/>
      <w:outlineLvl w:val="0"/>
    </w:pPr>
    <w:rPr>
      <w:rFonts w:ascii="Times New Roman" w:eastAsia="SimSun" w:hAnsi="Times New Roman" w:cs="Times New Roman"/>
      <w:b/>
      <w:bCs/>
      <w:szCs w:val="20"/>
      <w:lang w:val="en-GB" w:eastAsia="de-DE"/>
    </w:rPr>
  </w:style>
  <w:style w:type="paragraph" w:customStyle="1" w:styleId="Ttulo21">
    <w:name w:val="Título 21"/>
    <w:basedOn w:val="Padro"/>
    <w:next w:val="Corpodetexto1"/>
    <w:rsid w:val="00383E55"/>
    <w:pPr>
      <w:keepNext/>
      <w:numPr>
        <w:ilvl w:val="1"/>
        <w:numId w:val="1"/>
      </w:numPr>
      <w:spacing w:after="120" w:line="300" w:lineRule="exact"/>
      <w:outlineLvl w:val="1"/>
    </w:pPr>
    <w:rPr>
      <w:rFonts w:ascii="Arial" w:hAnsi="Arial" w:cs="Times New Roman"/>
      <w:b/>
      <w:bCs/>
      <w:i/>
      <w:iCs/>
      <w:sz w:val="20"/>
      <w:szCs w:val="20"/>
      <w:lang w:val="en-US" w:eastAsia="de-DE"/>
    </w:rPr>
  </w:style>
  <w:style w:type="character" w:customStyle="1" w:styleId="HeaderChar">
    <w:name w:val="Header Char"/>
    <w:rsid w:val="00383E55"/>
    <w:rPr>
      <w:rFonts w:ascii="Times New Roman" w:hAnsi="Times New Roman" w:cs="Times New Roman"/>
    </w:rPr>
  </w:style>
  <w:style w:type="character" w:customStyle="1" w:styleId="FooterChar">
    <w:name w:val="Footer Char"/>
    <w:rsid w:val="00383E55"/>
    <w:rPr>
      <w:rFonts w:ascii="Times New Roman" w:hAnsi="Times New Roman" w:cs="Times New Roman"/>
    </w:rPr>
  </w:style>
  <w:style w:type="character" w:styleId="Kommentarzeichen">
    <w:name w:val="annotation reference"/>
    <w:uiPriority w:val="99"/>
    <w:rsid w:val="00383E55"/>
    <w:rPr>
      <w:rFonts w:ascii="Times New Roman" w:hAnsi="Times New Roman" w:cs="Times New Roman"/>
      <w:sz w:val="16"/>
      <w:szCs w:val="16"/>
    </w:rPr>
  </w:style>
  <w:style w:type="character" w:customStyle="1" w:styleId="CommentTextChar">
    <w:name w:val="Comment Text Char"/>
    <w:uiPriority w:val="99"/>
    <w:rsid w:val="00383E55"/>
    <w:rPr>
      <w:rFonts w:ascii="Times New Roman" w:hAnsi="Times New Roman" w:cs="Times New Roman"/>
      <w:sz w:val="20"/>
      <w:szCs w:val="20"/>
    </w:rPr>
  </w:style>
  <w:style w:type="character" w:customStyle="1" w:styleId="CommentSubjectChar">
    <w:name w:val="Comment Subject Char"/>
    <w:rsid w:val="00383E55"/>
    <w:rPr>
      <w:rFonts w:ascii="Times New Roman" w:hAnsi="Times New Roman" w:cs="Times New Roman"/>
      <w:b/>
      <w:bCs/>
      <w:sz w:val="20"/>
      <w:szCs w:val="20"/>
    </w:rPr>
  </w:style>
  <w:style w:type="character" w:customStyle="1" w:styleId="BalloonTextChar">
    <w:name w:val="Balloon Text Char"/>
    <w:rsid w:val="00383E55"/>
    <w:rPr>
      <w:rFonts w:ascii="Tahoma" w:hAnsi="Tahoma" w:cs="Tahoma"/>
      <w:sz w:val="16"/>
      <w:szCs w:val="16"/>
    </w:rPr>
  </w:style>
  <w:style w:type="character" w:customStyle="1" w:styleId="nfaseforte">
    <w:name w:val="Ênfase forte"/>
    <w:rsid w:val="00383E55"/>
    <w:rPr>
      <w:b/>
      <w:bCs/>
    </w:rPr>
  </w:style>
  <w:style w:type="character" w:customStyle="1" w:styleId="LinkdaInternet">
    <w:name w:val="Link da Internet"/>
    <w:rsid w:val="00383E55"/>
    <w:rPr>
      <w:color w:val="0000FF"/>
      <w:u w:val="single"/>
      <w:lang w:val="pt-BR" w:eastAsia="pt-BR" w:bidi="pt-BR"/>
    </w:rPr>
  </w:style>
  <w:style w:type="character" w:customStyle="1" w:styleId="Heading1Char">
    <w:name w:val="Heading 1 Char"/>
    <w:basedOn w:val="Absatz-Standardschriftart"/>
    <w:rsid w:val="00383E55"/>
    <w:rPr>
      <w:rFonts w:ascii="Times New Roman" w:eastAsia="SimSun" w:hAnsi="Times New Roman"/>
      <w:b/>
      <w:sz w:val="24"/>
      <w:lang w:val="en-GB"/>
    </w:rPr>
  </w:style>
  <w:style w:type="character" w:customStyle="1" w:styleId="Heading2Char">
    <w:name w:val="Heading 2 Char"/>
    <w:basedOn w:val="Absatz-Standardschriftart"/>
    <w:rsid w:val="00383E55"/>
    <w:rPr>
      <w:rFonts w:ascii="Arial" w:hAnsi="Arial"/>
      <w:b/>
      <w:sz w:val="22"/>
      <w:lang w:val="en-US"/>
    </w:rPr>
  </w:style>
  <w:style w:type="character" w:customStyle="1" w:styleId="TextkrperZchn">
    <w:name w:val="Textkörper Zchn"/>
    <w:basedOn w:val="Absatz-Standardschriftart"/>
    <w:link w:val="Textkrper"/>
    <w:rsid w:val="00383E55"/>
    <w:rPr>
      <w:rFonts w:ascii="Arial" w:hAnsi="Arial"/>
      <w:sz w:val="22"/>
    </w:rPr>
  </w:style>
  <w:style w:type="character" w:customStyle="1" w:styleId="Caracteresdenotaderodap">
    <w:name w:val="Caracteres de nota de rodapé"/>
    <w:rsid w:val="00383E55"/>
    <w:rPr>
      <w:vertAlign w:val="superscript"/>
    </w:rPr>
  </w:style>
  <w:style w:type="character" w:customStyle="1" w:styleId="FootnoteTextChar">
    <w:name w:val="Footnote Text Char"/>
    <w:basedOn w:val="Absatz-Standardschriftart"/>
    <w:rsid w:val="00383E55"/>
    <w:rPr>
      <w:rFonts w:ascii="Times New Roman" w:hAnsi="Times New Roman"/>
      <w:lang w:val="en-GB" w:eastAsia="ar-SA"/>
    </w:rPr>
  </w:style>
  <w:style w:type="character" w:customStyle="1" w:styleId="FootnoteCharacters">
    <w:name w:val="Footnote Characters"/>
    <w:rsid w:val="00383E55"/>
    <w:rPr>
      <w:vertAlign w:val="superscript"/>
    </w:rPr>
  </w:style>
  <w:style w:type="character" w:customStyle="1" w:styleId="Refdenotaderodap2">
    <w:name w:val="Ref. de nota de rodapé2"/>
    <w:rsid w:val="00383E55"/>
    <w:rPr>
      <w:vertAlign w:val="superscript"/>
    </w:rPr>
  </w:style>
  <w:style w:type="character" w:styleId="Funotenzeichen">
    <w:name w:val="footnote reference"/>
    <w:uiPriority w:val="99"/>
    <w:rsid w:val="00383E55"/>
    <w:rPr>
      <w:vertAlign w:val="superscript"/>
    </w:rPr>
  </w:style>
  <w:style w:type="character" w:customStyle="1" w:styleId="Refdecomentrio1">
    <w:name w:val="Ref. de comentário1"/>
    <w:rsid w:val="00383E55"/>
    <w:rPr>
      <w:sz w:val="16"/>
    </w:rPr>
  </w:style>
  <w:style w:type="character" w:customStyle="1" w:styleId="RefChar">
    <w:name w:val="Ref Char"/>
    <w:basedOn w:val="Absatz-Standardschriftart"/>
    <w:rsid w:val="00383E55"/>
    <w:rPr>
      <w:rFonts w:ascii="Calibri" w:hAnsi="Calibri"/>
      <w:sz w:val="24"/>
      <w:szCs w:val="26"/>
      <w:lang w:val="en-US" w:eastAsia="en-US"/>
    </w:rPr>
  </w:style>
  <w:style w:type="character" w:customStyle="1" w:styleId="ListLabel1">
    <w:name w:val="ListLabel 1"/>
    <w:rsid w:val="00383E55"/>
    <w:rPr>
      <w:rFonts w:cs="Times New Roman"/>
    </w:rPr>
  </w:style>
  <w:style w:type="character" w:customStyle="1" w:styleId="ListLabel2">
    <w:name w:val="ListLabel 2"/>
    <w:rsid w:val="00383E55"/>
    <w:rPr>
      <w:rFonts w:cs="Courier New"/>
    </w:rPr>
  </w:style>
  <w:style w:type="character" w:customStyle="1" w:styleId="ListLabel3">
    <w:name w:val="ListLabel 3"/>
    <w:rsid w:val="00383E55"/>
    <w:rPr>
      <w:rFonts w:cs="Wingdings"/>
    </w:rPr>
  </w:style>
  <w:style w:type="character" w:customStyle="1" w:styleId="ListLabel4">
    <w:name w:val="ListLabel 4"/>
    <w:rsid w:val="00383E55"/>
    <w:rPr>
      <w:rFonts w:cs="Symbol"/>
    </w:rPr>
  </w:style>
  <w:style w:type="character" w:customStyle="1" w:styleId="ListLabel5">
    <w:name w:val="ListLabel 5"/>
    <w:rsid w:val="00383E55"/>
    <w:rPr>
      <w:rFonts w:eastAsia="Times New Roman"/>
    </w:rPr>
  </w:style>
  <w:style w:type="character" w:customStyle="1" w:styleId="ListLabel6">
    <w:name w:val="ListLabel 6"/>
    <w:rsid w:val="00383E55"/>
    <w:rPr>
      <w:rFonts w:cs="Times New Roman"/>
      <w:sz w:val="22"/>
      <w:szCs w:val="22"/>
    </w:rPr>
  </w:style>
  <w:style w:type="character" w:customStyle="1" w:styleId="ListLabel7">
    <w:name w:val="ListLabel 7"/>
    <w:rsid w:val="00383E55"/>
    <w:rPr>
      <w:rFonts w:eastAsia="Times New Roman" w:cs="Calibri"/>
    </w:rPr>
  </w:style>
  <w:style w:type="character" w:customStyle="1" w:styleId="ListLabel8">
    <w:name w:val="ListLabel 8"/>
    <w:rsid w:val="00383E55"/>
    <w:rPr>
      <w:rFonts w:eastAsia="Times New Roman" w:cs="Times New Roman"/>
    </w:rPr>
  </w:style>
  <w:style w:type="character" w:customStyle="1" w:styleId="ListLabel9">
    <w:name w:val="ListLabel 9"/>
    <w:rsid w:val="00383E55"/>
    <w:rPr>
      <w:rFonts w:eastAsia="Times New Roman" w:cs="Calibri"/>
      <w:i w:val="0"/>
    </w:rPr>
  </w:style>
  <w:style w:type="character" w:customStyle="1" w:styleId="ListLabel10">
    <w:name w:val="ListLabel 10"/>
    <w:rsid w:val="00383E55"/>
    <w:rPr>
      <w:rFonts w:cs="Calibri"/>
    </w:rPr>
  </w:style>
  <w:style w:type="character" w:customStyle="1" w:styleId="ncoradenotaderodap">
    <w:name w:val="Âncora de nota de rodapé"/>
    <w:rsid w:val="00383E55"/>
    <w:rPr>
      <w:vertAlign w:val="superscript"/>
    </w:rPr>
  </w:style>
  <w:style w:type="character" w:customStyle="1" w:styleId="ncoradenotadefim">
    <w:name w:val="Âncora de nota de fim"/>
    <w:rsid w:val="00383E55"/>
    <w:rPr>
      <w:vertAlign w:val="superscript"/>
    </w:rPr>
  </w:style>
  <w:style w:type="character" w:customStyle="1" w:styleId="ListLabel11">
    <w:name w:val="ListLabel 11"/>
    <w:rsid w:val="00383E55"/>
    <w:rPr>
      <w:rFonts w:cs="Times New Roman"/>
    </w:rPr>
  </w:style>
  <w:style w:type="character" w:customStyle="1" w:styleId="ListLabel12">
    <w:name w:val="ListLabel 12"/>
    <w:rsid w:val="00383E55"/>
    <w:rPr>
      <w:rFonts w:cs="Courier New"/>
    </w:rPr>
  </w:style>
  <w:style w:type="character" w:customStyle="1" w:styleId="ListLabel13">
    <w:name w:val="ListLabel 13"/>
    <w:rsid w:val="00383E55"/>
    <w:rPr>
      <w:rFonts w:cs="Wingdings"/>
    </w:rPr>
  </w:style>
  <w:style w:type="character" w:customStyle="1" w:styleId="ListLabel14">
    <w:name w:val="ListLabel 14"/>
    <w:rsid w:val="00383E55"/>
    <w:rPr>
      <w:rFonts w:cs="Symbol"/>
    </w:rPr>
  </w:style>
  <w:style w:type="character" w:customStyle="1" w:styleId="ListLabel15">
    <w:name w:val="ListLabel 15"/>
    <w:rsid w:val="00383E55"/>
    <w:rPr>
      <w:rFonts w:cs="Calibri"/>
    </w:rPr>
  </w:style>
  <w:style w:type="character" w:customStyle="1" w:styleId="ListLabel16">
    <w:name w:val="ListLabel 16"/>
    <w:rsid w:val="00383E55"/>
    <w:rPr>
      <w:rFonts w:cs="Times New Roman"/>
    </w:rPr>
  </w:style>
  <w:style w:type="character" w:customStyle="1" w:styleId="ListLabel17">
    <w:name w:val="ListLabel 17"/>
    <w:rsid w:val="00383E55"/>
    <w:rPr>
      <w:rFonts w:cs="Courier New"/>
    </w:rPr>
  </w:style>
  <w:style w:type="character" w:customStyle="1" w:styleId="ListLabel18">
    <w:name w:val="ListLabel 18"/>
    <w:rsid w:val="00383E55"/>
    <w:rPr>
      <w:rFonts w:cs="Wingdings"/>
    </w:rPr>
  </w:style>
  <w:style w:type="character" w:customStyle="1" w:styleId="ListLabel19">
    <w:name w:val="ListLabel 19"/>
    <w:rsid w:val="00383E55"/>
    <w:rPr>
      <w:rFonts w:cs="Symbol"/>
    </w:rPr>
  </w:style>
  <w:style w:type="character" w:customStyle="1" w:styleId="ListLabel20">
    <w:name w:val="ListLabel 20"/>
    <w:rsid w:val="00383E55"/>
    <w:rPr>
      <w:rFonts w:cs="Calibri"/>
    </w:rPr>
  </w:style>
  <w:style w:type="character" w:customStyle="1" w:styleId="ListLabel21">
    <w:name w:val="ListLabel 21"/>
    <w:rsid w:val="00383E55"/>
    <w:rPr>
      <w:rFonts w:cs="Times New Roman"/>
    </w:rPr>
  </w:style>
  <w:style w:type="character" w:customStyle="1" w:styleId="ListLabel22">
    <w:name w:val="ListLabel 22"/>
    <w:rsid w:val="00383E55"/>
    <w:rPr>
      <w:rFonts w:cs="Courier New"/>
    </w:rPr>
  </w:style>
  <w:style w:type="character" w:customStyle="1" w:styleId="ListLabel23">
    <w:name w:val="ListLabel 23"/>
    <w:rsid w:val="00383E55"/>
    <w:rPr>
      <w:rFonts w:cs="Wingdings"/>
    </w:rPr>
  </w:style>
  <w:style w:type="character" w:customStyle="1" w:styleId="ListLabel24">
    <w:name w:val="ListLabel 24"/>
    <w:rsid w:val="00383E55"/>
    <w:rPr>
      <w:rFonts w:cs="Symbol"/>
    </w:rPr>
  </w:style>
  <w:style w:type="character" w:customStyle="1" w:styleId="ListLabel25">
    <w:name w:val="ListLabel 25"/>
    <w:rsid w:val="00383E55"/>
    <w:rPr>
      <w:rFonts w:cs="Calibri"/>
    </w:rPr>
  </w:style>
  <w:style w:type="character" w:customStyle="1" w:styleId="Caracteresdenotadefim">
    <w:name w:val="Caracteres de nota de fim"/>
    <w:rsid w:val="00383E55"/>
  </w:style>
  <w:style w:type="paragraph" w:customStyle="1" w:styleId="Ttulo1">
    <w:name w:val="Título1"/>
    <w:basedOn w:val="Padro"/>
    <w:next w:val="Corpodetexto1"/>
    <w:rsid w:val="00383E55"/>
    <w:pPr>
      <w:keepNext/>
      <w:spacing w:before="240" w:after="120"/>
    </w:pPr>
    <w:rPr>
      <w:rFonts w:ascii="Arial" w:eastAsia="Microsoft YaHei" w:hAnsi="Arial" w:cs="Mangal"/>
      <w:sz w:val="28"/>
      <w:szCs w:val="28"/>
    </w:rPr>
  </w:style>
  <w:style w:type="paragraph" w:customStyle="1" w:styleId="Corpodetexto1">
    <w:name w:val="Corpo de texto1"/>
    <w:basedOn w:val="Padro"/>
    <w:rsid w:val="00383E55"/>
    <w:pPr>
      <w:spacing w:after="120" w:line="300" w:lineRule="exact"/>
    </w:pPr>
    <w:rPr>
      <w:rFonts w:ascii="Arial" w:hAnsi="Arial" w:cs="Times New Roman"/>
      <w:sz w:val="20"/>
      <w:szCs w:val="20"/>
      <w:lang w:eastAsia="de-DE"/>
    </w:rPr>
  </w:style>
  <w:style w:type="paragraph" w:customStyle="1" w:styleId="Lista1">
    <w:name w:val="Lista1"/>
    <w:basedOn w:val="Corpodetexto1"/>
    <w:rsid w:val="00383E55"/>
    <w:rPr>
      <w:rFonts w:cs="Mangal"/>
    </w:rPr>
  </w:style>
  <w:style w:type="paragraph" w:customStyle="1" w:styleId="Legenda1">
    <w:name w:val="Legenda1"/>
    <w:basedOn w:val="Padro"/>
    <w:rsid w:val="00383E55"/>
    <w:pPr>
      <w:suppressLineNumbers/>
      <w:spacing w:before="120" w:after="120"/>
    </w:pPr>
    <w:rPr>
      <w:rFonts w:cs="Mangal"/>
      <w:i/>
      <w:iCs/>
    </w:rPr>
  </w:style>
  <w:style w:type="paragraph" w:customStyle="1" w:styleId="ndice">
    <w:name w:val="Índice"/>
    <w:basedOn w:val="Padro"/>
    <w:rsid w:val="00383E55"/>
    <w:pPr>
      <w:suppressLineNumbers/>
    </w:pPr>
    <w:rPr>
      <w:rFonts w:cs="Mangal"/>
    </w:rPr>
  </w:style>
  <w:style w:type="paragraph" w:styleId="Listenabsatz">
    <w:name w:val="List Paragraph"/>
    <w:basedOn w:val="Padro"/>
    <w:uiPriority w:val="34"/>
    <w:qFormat/>
    <w:rsid w:val="00383E55"/>
    <w:pPr>
      <w:ind w:left="720"/>
    </w:pPr>
  </w:style>
  <w:style w:type="paragraph" w:customStyle="1" w:styleId="Cabealho1">
    <w:name w:val="Cabeçalho1"/>
    <w:basedOn w:val="Padro"/>
    <w:rsid w:val="00383E55"/>
    <w:pPr>
      <w:suppressLineNumbers/>
      <w:tabs>
        <w:tab w:val="center" w:pos="4536"/>
        <w:tab w:val="right" w:pos="9072"/>
      </w:tabs>
      <w:spacing w:after="0" w:line="100" w:lineRule="atLeast"/>
    </w:pPr>
  </w:style>
  <w:style w:type="paragraph" w:customStyle="1" w:styleId="Rodap1">
    <w:name w:val="Rodapé1"/>
    <w:basedOn w:val="Padro"/>
    <w:rsid w:val="00383E55"/>
    <w:pPr>
      <w:suppressLineNumbers/>
      <w:tabs>
        <w:tab w:val="center" w:pos="4536"/>
        <w:tab w:val="right" w:pos="9072"/>
      </w:tabs>
      <w:spacing w:after="0" w:line="100" w:lineRule="atLeast"/>
    </w:pPr>
  </w:style>
  <w:style w:type="paragraph" w:styleId="Kommentartext">
    <w:name w:val="annotation text"/>
    <w:basedOn w:val="Padro"/>
    <w:uiPriority w:val="99"/>
    <w:rsid w:val="00383E55"/>
    <w:pPr>
      <w:spacing w:line="100" w:lineRule="atLeast"/>
    </w:pPr>
    <w:rPr>
      <w:sz w:val="20"/>
      <w:szCs w:val="20"/>
    </w:rPr>
  </w:style>
  <w:style w:type="paragraph" w:styleId="Kommentarthema">
    <w:name w:val="annotation subject"/>
    <w:basedOn w:val="Kommentartext"/>
    <w:rsid w:val="00383E55"/>
    <w:rPr>
      <w:b/>
      <w:bCs/>
    </w:rPr>
  </w:style>
  <w:style w:type="paragraph" w:styleId="Sprechblasentext">
    <w:name w:val="Balloon Text"/>
    <w:basedOn w:val="Padro"/>
    <w:rsid w:val="00383E55"/>
    <w:pPr>
      <w:spacing w:after="0" w:line="100" w:lineRule="atLeast"/>
    </w:pPr>
    <w:rPr>
      <w:rFonts w:ascii="Tahoma" w:hAnsi="Tahoma" w:cs="Tahoma"/>
      <w:sz w:val="16"/>
      <w:szCs w:val="16"/>
    </w:rPr>
  </w:style>
  <w:style w:type="paragraph" w:styleId="berarbeitung">
    <w:name w:val="Revision"/>
    <w:rsid w:val="00383E55"/>
    <w:pPr>
      <w:suppressAutoHyphens/>
    </w:pPr>
    <w:rPr>
      <w:rFonts w:ascii="Calibri" w:eastAsia="Times New Roman" w:hAnsi="Calibri" w:cs="Calibri"/>
      <w:color w:val="00000A"/>
      <w:lang w:val="de-DE"/>
    </w:rPr>
  </w:style>
  <w:style w:type="paragraph" w:styleId="Blocktext">
    <w:name w:val="Block Text"/>
    <w:basedOn w:val="Padro"/>
    <w:rsid w:val="00383E55"/>
    <w:pPr>
      <w:spacing w:after="240" w:line="100" w:lineRule="atLeast"/>
      <w:ind w:left="567" w:right="567"/>
      <w:jc w:val="both"/>
    </w:pPr>
    <w:rPr>
      <w:rFonts w:ascii="Arial" w:hAnsi="Arial" w:cs="Times New Roman"/>
      <w:sz w:val="20"/>
      <w:szCs w:val="20"/>
      <w:lang w:val="en-GB" w:eastAsia="de-DE"/>
    </w:rPr>
  </w:style>
  <w:style w:type="paragraph" w:styleId="Funotentext">
    <w:name w:val="footnote text"/>
    <w:basedOn w:val="Padro"/>
    <w:link w:val="FunotentextZchn"/>
    <w:uiPriority w:val="99"/>
    <w:rsid w:val="00383E55"/>
    <w:pPr>
      <w:suppressLineNumbers/>
      <w:spacing w:after="170" w:line="100" w:lineRule="atLeast"/>
      <w:ind w:left="283" w:hanging="283"/>
      <w:jc w:val="both"/>
    </w:pPr>
    <w:rPr>
      <w:rFonts w:ascii="Times New Roman" w:hAnsi="Times New Roman" w:cs="Times New Roman"/>
      <w:sz w:val="20"/>
      <w:szCs w:val="20"/>
      <w:lang w:val="en-GB" w:eastAsia="ar-SA"/>
    </w:rPr>
  </w:style>
  <w:style w:type="paragraph" w:customStyle="1" w:styleId="Listenabsatz1">
    <w:name w:val="Listenabsatz1"/>
    <w:basedOn w:val="Padro"/>
    <w:rsid w:val="00383E55"/>
    <w:pPr>
      <w:spacing w:after="0" w:line="100" w:lineRule="atLeast"/>
      <w:ind w:left="720"/>
    </w:pPr>
    <w:rPr>
      <w:rFonts w:ascii="Times New Roman" w:eastAsia="Lucida Sans Unicode" w:hAnsi="Times New Roman" w:cs="Mangal"/>
      <w:lang w:eastAsia="hi-IN" w:bidi="hi-IN"/>
    </w:rPr>
  </w:style>
  <w:style w:type="paragraph" w:customStyle="1" w:styleId="ListaColorida-nfase11">
    <w:name w:val="Lista Colorida - Ênfase 11"/>
    <w:basedOn w:val="Padro"/>
    <w:rsid w:val="00383E55"/>
    <w:pPr>
      <w:ind w:left="720"/>
    </w:pPr>
    <w:rPr>
      <w:rFonts w:ascii="Verdana" w:eastAsia="Lucida Sans Unicode" w:hAnsi="Verdana" w:cs="Mangal"/>
      <w:lang w:val="pt-BR" w:eastAsia="hi-IN" w:bidi="hi-IN"/>
    </w:rPr>
  </w:style>
  <w:style w:type="paragraph" w:customStyle="1" w:styleId="g-texto">
    <w:name w:val="g-texto"/>
    <w:rsid w:val="00383E55"/>
    <w:pPr>
      <w:widowControl w:val="0"/>
      <w:suppressAutoHyphens/>
      <w:spacing w:after="120" w:line="360" w:lineRule="auto"/>
      <w:jc w:val="both"/>
    </w:pPr>
    <w:rPr>
      <w:rFonts w:ascii="Times New Roman" w:eastAsia="Times New Roman" w:hAnsi="Times New Roman" w:cs="Times New Roman"/>
      <w:color w:val="00000A"/>
      <w:sz w:val="24"/>
      <w:szCs w:val="24"/>
      <w:lang w:val="pt-BR" w:eastAsia="pt-BR"/>
    </w:rPr>
  </w:style>
  <w:style w:type="paragraph" w:styleId="StandardWeb">
    <w:name w:val="Normal (Web)"/>
    <w:basedOn w:val="Padro"/>
    <w:uiPriority w:val="99"/>
    <w:rsid w:val="00383E55"/>
    <w:pPr>
      <w:spacing w:before="28" w:after="28" w:line="100" w:lineRule="atLeast"/>
    </w:pPr>
    <w:rPr>
      <w:rFonts w:ascii="Times New Roman" w:hAnsi="Times New Roman" w:cs="Times New Roman"/>
      <w:lang w:val="pt-BR" w:eastAsia="ko-KR"/>
    </w:rPr>
  </w:style>
  <w:style w:type="paragraph" w:customStyle="1" w:styleId="BIBLIOG">
    <w:name w:val="BIBLIOG"/>
    <w:basedOn w:val="Padro"/>
    <w:rsid w:val="00383E55"/>
    <w:pPr>
      <w:spacing w:after="120" w:line="100" w:lineRule="atLeast"/>
      <w:ind w:left="360" w:right="130" w:hanging="360"/>
      <w:jc w:val="both"/>
    </w:pPr>
    <w:rPr>
      <w:rFonts w:ascii="Times New Roman" w:eastAsia="Lucida Sans Unicode" w:hAnsi="Times New Roman" w:cs="Mangal"/>
      <w:szCs w:val="20"/>
      <w:lang w:val="pt-BR" w:eastAsia="hi-IN" w:bidi="hi-IN"/>
    </w:rPr>
  </w:style>
  <w:style w:type="paragraph" w:customStyle="1" w:styleId="Ref">
    <w:name w:val="Ref"/>
    <w:basedOn w:val="Padro"/>
    <w:rsid w:val="00383E55"/>
    <w:pPr>
      <w:spacing w:before="120" w:after="0" w:line="360" w:lineRule="auto"/>
      <w:ind w:left="288" w:hanging="288"/>
    </w:pPr>
    <w:rPr>
      <w:rFonts w:ascii="Calibri" w:hAnsi="Calibri"/>
      <w:szCs w:val="26"/>
      <w:lang w:val="en-US"/>
    </w:rPr>
  </w:style>
  <w:style w:type="paragraph" w:customStyle="1" w:styleId="Notaderodap">
    <w:name w:val="Nota de rodapé"/>
    <w:basedOn w:val="Padro"/>
    <w:rsid w:val="00383E55"/>
    <w:pPr>
      <w:suppressLineNumbers/>
      <w:ind w:left="339" w:hanging="339"/>
    </w:pPr>
    <w:rPr>
      <w:sz w:val="20"/>
      <w:szCs w:val="20"/>
    </w:rPr>
  </w:style>
  <w:style w:type="paragraph" w:styleId="Textkrper">
    <w:name w:val="Body Text"/>
    <w:basedOn w:val="Standard"/>
    <w:link w:val="TextkrperZchn"/>
    <w:rsid w:val="00D757F7"/>
    <w:pPr>
      <w:spacing w:after="120" w:line="300" w:lineRule="exact"/>
    </w:pPr>
    <w:rPr>
      <w:rFonts w:ascii="Arial" w:hAnsi="Arial"/>
      <w:lang w:val="en-US" w:eastAsia="en-US"/>
    </w:rPr>
  </w:style>
  <w:style w:type="character" w:customStyle="1" w:styleId="BodyTextChar1">
    <w:name w:val="Body Text Char1"/>
    <w:basedOn w:val="Absatz-Standardschriftart"/>
    <w:uiPriority w:val="99"/>
    <w:semiHidden/>
    <w:rsid w:val="00D757F7"/>
  </w:style>
  <w:style w:type="paragraph" w:styleId="Kopfzeile">
    <w:name w:val="header"/>
    <w:basedOn w:val="Standard"/>
    <w:link w:val="KopfzeileZchn"/>
    <w:uiPriority w:val="99"/>
    <w:unhideWhenUsed/>
    <w:rsid w:val="00DE005B"/>
    <w:pPr>
      <w:tabs>
        <w:tab w:val="center" w:pos="4536"/>
        <w:tab w:val="right" w:pos="9072"/>
      </w:tabs>
      <w:spacing w:after="0" w:line="240" w:lineRule="auto"/>
    </w:pPr>
    <w:rPr>
      <w:lang w:val="en-US" w:eastAsia="en-US"/>
    </w:rPr>
  </w:style>
  <w:style w:type="character" w:customStyle="1" w:styleId="KopfzeileZchn">
    <w:name w:val="Kopfzeile Zchn"/>
    <w:basedOn w:val="Absatz-Standardschriftart"/>
    <w:link w:val="Kopfzeile"/>
    <w:uiPriority w:val="99"/>
    <w:rsid w:val="00DE005B"/>
  </w:style>
  <w:style w:type="paragraph" w:styleId="Fuzeile">
    <w:name w:val="footer"/>
    <w:basedOn w:val="Standard"/>
    <w:link w:val="FuzeileZchn"/>
    <w:uiPriority w:val="99"/>
    <w:unhideWhenUsed/>
    <w:rsid w:val="00DE005B"/>
    <w:pPr>
      <w:tabs>
        <w:tab w:val="center" w:pos="4536"/>
        <w:tab w:val="right" w:pos="9072"/>
      </w:tabs>
      <w:spacing w:after="0" w:line="240" w:lineRule="auto"/>
    </w:pPr>
    <w:rPr>
      <w:lang w:val="en-US" w:eastAsia="en-US"/>
    </w:rPr>
  </w:style>
  <w:style w:type="character" w:customStyle="1" w:styleId="FuzeileZchn">
    <w:name w:val="Fußzeile Zchn"/>
    <w:basedOn w:val="Absatz-Standardschriftart"/>
    <w:link w:val="Fuzeile"/>
    <w:uiPriority w:val="99"/>
    <w:rsid w:val="00DE005B"/>
  </w:style>
  <w:style w:type="paragraph" w:styleId="Textkrper-Zeileneinzug">
    <w:name w:val="Body Text Indent"/>
    <w:basedOn w:val="Standard"/>
    <w:link w:val="Textkrper-ZeileneinzugZchn"/>
    <w:uiPriority w:val="99"/>
    <w:semiHidden/>
    <w:unhideWhenUsed/>
    <w:rsid w:val="002E3B99"/>
    <w:pPr>
      <w:spacing w:after="120"/>
      <w:ind w:left="283"/>
    </w:pPr>
  </w:style>
  <w:style w:type="character" w:customStyle="1" w:styleId="Textkrper-ZeileneinzugZchn">
    <w:name w:val="Textkörper-Zeileneinzug Zchn"/>
    <w:basedOn w:val="Absatz-Standardschriftart"/>
    <w:link w:val="Textkrper-Zeileneinzug"/>
    <w:uiPriority w:val="99"/>
    <w:semiHidden/>
    <w:rsid w:val="002E3B99"/>
  </w:style>
  <w:style w:type="character" w:styleId="Hyperlink">
    <w:name w:val="Hyperlink"/>
    <w:basedOn w:val="Absatz-Standardschriftart"/>
    <w:unhideWhenUsed/>
    <w:rsid w:val="007F6D23"/>
    <w:rPr>
      <w:color w:val="0000FF"/>
      <w:u w:val="single"/>
    </w:rPr>
  </w:style>
  <w:style w:type="character" w:customStyle="1" w:styleId="apple-converted-space">
    <w:name w:val="apple-converted-space"/>
    <w:basedOn w:val="Absatz-Standardschriftart"/>
    <w:rsid w:val="003323B8"/>
  </w:style>
  <w:style w:type="character" w:customStyle="1" w:styleId="cvuzd8nu5o">
    <w:name w:val="cvuzd8nu5o"/>
    <w:basedOn w:val="Absatz-Standardschriftart"/>
    <w:rsid w:val="003323B8"/>
  </w:style>
  <w:style w:type="character" w:customStyle="1" w:styleId="FunotentextZchn">
    <w:name w:val="Fußnotentext Zchn"/>
    <w:basedOn w:val="Absatz-Standardschriftart"/>
    <w:link w:val="Funotentext"/>
    <w:uiPriority w:val="99"/>
    <w:rsid w:val="003C13F4"/>
    <w:rPr>
      <w:rFonts w:ascii="Times New Roman" w:eastAsia="Times New Roman" w:hAnsi="Times New Roman" w:cs="Times New Roman"/>
      <w:color w:val="000000"/>
      <w:sz w:val="20"/>
      <w:szCs w:val="20"/>
      <w:lang w:val="en-GB" w:eastAsia="ar-SA"/>
    </w:rPr>
  </w:style>
  <w:style w:type="character" w:customStyle="1" w:styleId="u92delzn">
    <w:name w:val="u92delzn"/>
    <w:basedOn w:val="Absatz-Standardschriftart"/>
    <w:rsid w:val="00CB7C98"/>
  </w:style>
  <w:style w:type="paragraph" w:customStyle="1" w:styleId="Default">
    <w:name w:val="Default"/>
    <w:rsid w:val="00745578"/>
    <w:pPr>
      <w:autoSpaceDE w:val="0"/>
      <w:autoSpaceDN w:val="0"/>
      <w:adjustRightInd w:val="0"/>
      <w:spacing w:after="0" w:line="240" w:lineRule="auto"/>
    </w:pPr>
    <w:rPr>
      <w:rFonts w:ascii="Times New Roman" w:hAnsi="Times New Roman" w:cs="Times New Roman"/>
      <w:color w:val="000000"/>
      <w:sz w:val="24"/>
      <w:szCs w:val="24"/>
      <w:lang w:val="pt-BR"/>
    </w:rPr>
  </w:style>
  <w:style w:type="paragraph" w:styleId="HTMLVorformatiert">
    <w:name w:val="HTML Preformatted"/>
    <w:basedOn w:val="Standard"/>
    <w:link w:val="HTMLVorformatiertZchn"/>
    <w:uiPriority w:val="99"/>
    <w:semiHidden/>
    <w:unhideWhenUsed/>
    <w:rsid w:val="00CA2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CA2CE5"/>
    <w:rPr>
      <w:rFonts w:ascii="Courier New" w:eastAsia="Times New Roman" w:hAnsi="Courier New" w:cs="Courier New"/>
      <w:sz w:val="20"/>
      <w:szCs w:val="20"/>
      <w:lang w:val="de-DE" w:eastAsia="de-DE"/>
    </w:rPr>
  </w:style>
  <w:style w:type="character" w:styleId="Endnotenzeichen">
    <w:name w:val="endnote reference"/>
    <w:rsid w:val="00FF1855"/>
    <w:rPr>
      <w:vertAlign w:val="superscript"/>
    </w:rPr>
  </w:style>
  <w:style w:type="paragraph" w:styleId="Dokumentstruktur">
    <w:name w:val="Document Map"/>
    <w:basedOn w:val="Standard"/>
    <w:link w:val="DokumentstrukturZchn"/>
    <w:uiPriority w:val="99"/>
    <w:semiHidden/>
    <w:unhideWhenUsed/>
    <w:rsid w:val="00A75B8C"/>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A75B8C"/>
    <w:rPr>
      <w:rFonts w:ascii="Times New Roman" w:hAnsi="Times New Roman" w:cs="Times New Roman"/>
      <w:sz w:val="24"/>
      <w:szCs w:val="24"/>
      <w:lang w:val="pt-BR" w:eastAsia="ko-KR"/>
    </w:rPr>
  </w:style>
  <w:style w:type="table" w:styleId="Tabellenraster">
    <w:name w:val="Table Grid"/>
    <w:basedOn w:val="NormaleTabelle"/>
    <w:uiPriority w:val="59"/>
    <w:rsid w:val="002B5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67C66"/>
    <w:rPr>
      <w:rFonts w:asciiTheme="majorHAnsi" w:eastAsiaTheme="majorEastAsia" w:hAnsiTheme="majorHAnsi" w:cstheme="majorBidi"/>
      <w:color w:val="365F91" w:themeColor="accent1" w:themeShade="BF"/>
      <w:sz w:val="32"/>
      <w:szCs w:val="32"/>
      <w:lang w:val="pt-BR" w:eastAsia="ko-KR"/>
    </w:rPr>
  </w:style>
  <w:style w:type="paragraph" w:styleId="Titel">
    <w:name w:val="Title"/>
    <w:basedOn w:val="Standard"/>
    <w:next w:val="Standard"/>
    <w:link w:val="TitelZchn"/>
    <w:uiPriority w:val="10"/>
    <w:qFormat/>
    <w:rsid w:val="00867C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67C66"/>
    <w:rPr>
      <w:rFonts w:asciiTheme="majorHAnsi" w:eastAsiaTheme="majorEastAsia" w:hAnsiTheme="majorHAnsi" w:cstheme="majorBidi"/>
      <w:spacing w:val="-10"/>
      <w:kern w:val="28"/>
      <w:sz w:val="56"/>
      <w:szCs w:val="56"/>
      <w:lang w:val="pt-BR" w:eastAsia="ko-KR"/>
    </w:rPr>
  </w:style>
  <w:style w:type="character" w:customStyle="1" w:styleId="berschrift2Zchn">
    <w:name w:val="Überschrift 2 Zchn"/>
    <w:basedOn w:val="Absatz-Standardschriftart"/>
    <w:link w:val="berschrift2"/>
    <w:uiPriority w:val="9"/>
    <w:rsid w:val="00867C66"/>
    <w:rPr>
      <w:rFonts w:asciiTheme="majorHAnsi" w:eastAsiaTheme="majorEastAsia" w:hAnsiTheme="majorHAnsi" w:cstheme="majorBidi"/>
      <w:color w:val="365F91" w:themeColor="accent1" w:themeShade="BF"/>
      <w:sz w:val="26"/>
      <w:szCs w:val="26"/>
      <w:lang w:val="pt-BR" w:eastAsia="ko-KR"/>
    </w:rPr>
  </w:style>
  <w:style w:type="character" w:customStyle="1" w:styleId="berschrift3Zchn">
    <w:name w:val="Überschrift 3 Zchn"/>
    <w:basedOn w:val="Absatz-Standardschriftart"/>
    <w:link w:val="berschrift3"/>
    <w:uiPriority w:val="9"/>
    <w:rsid w:val="00867C66"/>
    <w:rPr>
      <w:rFonts w:asciiTheme="majorHAnsi" w:eastAsiaTheme="majorEastAsia" w:hAnsiTheme="majorHAnsi" w:cstheme="majorBidi"/>
      <w:color w:val="243F60" w:themeColor="accent1" w:themeShade="7F"/>
      <w:sz w:val="24"/>
      <w:szCs w:val="24"/>
      <w:lang w:val="pt-BR" w:eastAsia="ko-KR"/>
    </w:rPr>
  </w:style>
  <w:style w:type="paragraph" w:styleId="NurText">
    <w:name w:val="Plain Text"/>
    <w:basedOn w:val="Standard"/>
    <w:link w:val="NurTextZchn"/>
    <w:uiPriority w:val="99"/>
    <w:semiHidden/>
    <w:unhideWhenUsed/>
    <w:rsid w:val="00CC34D3"/>
    <w:pPr>
      <w:spacing w:after="0" w:line="240" w:lineRule="auto"/>
    </w:pPr>
    <w:rPr>
      <w:rFonts w:ascii="Calibri" w:eastAsiaTheme="minorHAnsi" w:hAnsi="Calibri"/>
      <w:szCs w:val="21"/>
      <w:lang w:val="de-DE" w:eastAsia="en-US"/>
    </w:rPr>
  </w:style>
  <w:style w:type="character" w:customStyle="1" w:styleId="NurTextZchn">
    <w:name w:val="Nur Text Zchn"/>
    <w:basedOn w:val="Absatz-Standardschriftart"/>
    <w:link w:val="NurText"/>
    <w:uiPriority w:val="99"/>
    <w:semiHidden/>
    <w:rsid w:val="00CC34D3"/>
    <w:rPr>
      <w:rFonts w:ascii="Calibri" w:eastAsiaTheme="minorHAnsi" w:hAnsi="Calibri"/>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5499">
      <w:bodyDiv w:val="1"/>
      <w:marLeft w:val="0"/>
      <w:marRight w:val="0"/>
      <w:marTop w:val="0"/>
      <w:marBottom w:val="0"/>
      <w:divBdr>
        <w:top w:val="none" w:sz="0" w:space="0" w:color="auto"/>
        <w:left w:val="none" w:sz="0" w:space="0" w:color="auto"/>
        <w:bottom w:val="none" w:sz="0" w:space="0" w:color="auto"/>
        <w:right w:val="none" w:sz="0" w:space="0" w:color="auto"/>
      </w:divBdr>
    </w:div>
    <w:div w:id="273560255">
      <w:bodyDiv w:val="1"/>
      <w:marLeft w:val="0"/>
      <w:marRight w:val="0"/>
      <w:marTop w:val="0"/>
      <w:marBottom w:val="0"/>
      <w:divBdr>
        <w:top w:val="none" w:sz="0" w:space="0" w:color="auto"/>
        <w:left w:val="none" w:sz="0" w:space="0" w:color="auto"/>
        <w:bottom w:val="none" w:sz="0" w:space="0" w:color="auto"/>
        <w:right w:val="none" w:sz="0" w:space="0" w:color="auto"/>
      </w:divBdr>
    </w:div>
    <w:div w:id="318654527">
      <w:bodyDiv w:val="1"/>
      <w:marLeft w:val="0"/>
      <w:marRight w:val="0"/>
      <w:marTop w:val="0"/>
      <w:marBottom w:val="0"/>
      <w:divBdr>
        <w:top w:val="none" w:sz="0" w:space="0" w:color="auto"/>
        <w:left w:val="none" w:sz="0" w:space="0" w:color="auto"/>
        <w:bottom w:val="none" w:sz="0" w:space="0" w:color="auto"/>
        <w:right w:val="none" w:sz="0" w:space="0" w:color="auto"/>
      </w:divBdr>
    </w:div>
    <w:div w:id="334917001">
      <w:bodyDiv w:val="1"/>
      <w:marLeft w:val="0"/>
      <w:marRight w:val="0"/>
      <w:marTop w:val="0"/>
      <w:marBottom w:val="0"/>
      <w:divBdr>
        <w:top w:val="none" w:sz="0" w:space="0" w:color="auto"/>
        <w:left w:val="none" w:sz="0" w:space="0" w:color="auto"/>
        <w:bottom w:val="none" w:sz="0" w:space="0" w:color="auto"/>
        <w:right w:val="none" w:sz="0" w:space="0" w:color="auto"/>
      </w:divBdr>
      <w:divsChild>
        <w:div w:id="729231529">
          <w:marLeft w:val="720"/>
          <w:marRight w:val="0"/>
          <w:marTop w:val="86"/>
          <w:marBottom w:val="120"/>
          <w:divBdr>
            <w:top w:val="none" w:sz="0" w:space="0" w:color="auto"/>
            <w:left w:val="none" w:sz="0" w:space="0" w:color="auto"/>
            <w:bottom w:val="none" w:sz="0" w:space="0" w:color="auto"/>
            <w:right w:val="none" w:sz="0" w:space="0" w:color="auto"/>
          </w:divBdr>
        </w:div>
        <w:div w:id="1647318046">
          <w:marLeft w:val="1152"/>
          <w:marRight w:val="0"/>
          <w:marTop w:val="77"/>
          <w:marBottom w:val="120"/>
          <w:divBdr>
            <w:top w:val="none" w:sz="0" w:space="0" w:color="auto"/>
            <w:left w:val="none" w:sz="0" w:space="0" w:color="auto"/>
            <w:bottom w:val="none" w:sz="0" w:space="0" w:color="auto"/>
            <w:right w:val="none" w:sz="0" w:space="0" w:color="auto"/>
          </w:divBdr>
        </w:div>
        <w:div w:id="1290744849">
          <w:marLeft w:val="1152"/>
          <w:marRight w:val="0"/>
          <w:marTop w:val="77"/>
          <w:marBottom w:val="120"/>
          <w:divBdr>
            <w:top w:val="none" w:sz="0" w:space="0" w:color="auto"/>
            <w:left w:val="none" w:sz="0" w:space="0" w:color="auto"/>
            <w:bottom w:val="none" w:sz="0" w:space="0" w:color="auto"/>
            <w:right w:val="none" w:sz="0" w:space="0" w:color="auto"/>
          </w:divBdr>
        </w:div>
        <w:div w:id="387997470">
          <w:marLeft w:val="1152"/>
          <w:marRight w:val="0"/>
          <w:marTop w:val="77"/>
          <w:marBottom w:val="120"/>
          <w:divBdr>
            <w:top w:val="none" w:sz="0" w:space="0" w:color="auto"/>
            <w:left w:val="none" w:sz="0" w:space="0" w:color="auto"/>
            <w:bottom w:val="none" w:sz="0" w:space="0" w:color="auto"/>
            <w:right w:val="none" w:sz="0" w:space="0" w:color="auto"/>
          </w:divBdr>
        </w:div>
        <w:div w:id="425539020">
          <w:marLeft w:val="1152"/>
          <w:marRight w:val="0"/>
          <w:marTop w:val="77"/>
          <w:marBottom w:val="120"/>
          <w:divBdr>
            <w:top w:val="none" w:sz="0" w:space="0" w:color="auto"/>
            <w:left w:val="none" w:sz="0" w:space="0" w:color="auto"/>
            <w:bottom w:val="none" w:sz="0" w:space="0" w:color="auto"/>
            <w:right w:val="none" w:sz="0" w:space="0" w:color="auto"/>
          </w:divBdr>
        </w:div>
        <w:div w:id="1744184688">
          <w:marLeft w:val="288"/>
          <w:marRight w:val="0"/>
          <w:marTop w:val="86"/>
          <w:marBottom w:val="240"/>
          <w:divBdr>
            <w:top w:val="none" w:sz="0" w:space="0" w:color="auto"/>
            <w:left w:val="none" w:sz="0" w:space="0" w:color="auto"/>
            <w:bottom w:val="none" w:sz="0" w:space="0" w:color="auto"/>
            <w:right w:val="none" w:sz="0" w:space="0" w:color="auto"/>
          </w:divBdr>
        </w:div>
        <w:div w:id="969360645">
          <w:marLeft w:val="1339"/>
          <w:marRight w:val="0"/>
          <w:marTop w:val="86"/>
          <w:marBottom w:val="240"/>
          <w:divBdr>
            <w:top w:val="none" w:sz="0" w:space="0" w:color="auto"/>
            <w:left w:val="none" w:sz="0" w:space="0" w:color="auto"/>
            <w:bottom w:val="none" w:sz="0" w:space="0" w:color="auto"/>
            <w:right w:val="none" w:sz="0" w:space="0" w:color="auto"/>
          </w:divBdr>
        </w:div>
        <w:div w:id="1888450303">
          <w:marLeft w:val="1339"/>
          <w:marRight w:val="0"/>
          <w:marTop w:val="86"/>
          <w:marBottom w:val="240"/>
          <w:divBdr>
            <w:top w:val="none" w:sz="0" w:space="0" w:color="auto"/>
            <w:left w:val="none" w:sz="0" w:space="0" w:color="auto"/>
            <w:bottom w:val="none" w:sz="0" w:space="0" w:color="auto"/>
            <w:right w:val="none" w:sz="0" w:space="0" w:color="auto"/>
          </w:divBdr>
        </w:div>
        <w:div w:id="1381249430">
          <w:marLeft w:val="1339"/>
          <w:marRight w:val="0"/>
          <w:marTop w:val="86"/>
          <w:marBottom w:val="240"/>
          <w:divBdr>
            <w:top w:val="none" w:sz="0" w:space="0" w:color="auto"/>
            <w:left w:val="none" w:sz="0" w:space="0" w:color="auto"/>
            <w:bottom w:val="none" w:sz="0" w:space="0" w:color="auto"/>
            <w:right w:val="none" w:sz="0" w:space="0" w:color="auto"/>
          </w:divBdr>
        </w:div>
        <w:div w:id="1367683926">
          <w:marLeft w:val="288"/>
          <w:marRight w:val="0"/>
          <w:marTop w:val="86"/>
          <w:marBottom w:val="240"/>
          <w:divBdr>
            <w:top w:val="none" w:sz="0" w:space="0" w:color="auto"/>
            <w:left w:val="none" w:sz="0" w:space="0" w:color="auto"/>
            <w:bottom w:val="none" w:sz="0" w:space="0" w:color="auto"/>
            <w:right w:val="none" w:sz="0" w:space="0" w:color="auto"/>
          </w:divBdr>
        </w:div>
      </w:divsChild>
    </w:div>
    <w:div w:id="635716486">
      <w:bodyDiv w:val="1"/>
      <w:marLeft w:val="0"/>
      <w:marRight w:val="0"/>
      <w:marTop w:val="0"/>
      <w:marBottom w:val="0"/>
      <w:divBdr>
        <w:top w:val="none" w:sz="0" w:space="0" w:color="auto"/>
        <w:left w:val="none" w:sz="0" w:space="0" w:color="auto"/>
        <w:bottom w:val="none" w:sz="0" w:space="0" w:color="auto"/>
        <w:right w:val="none" w:sz="0" w:space="0" w:color="auto"/>
      </w:divBdr>
    </w:div>
    <w:div w:id="1377314931">
      <w:bodyDiv w:val="1"/>
      <w:marLeft w:val="0"/>
      <w:marRight w:val="0"/>
      <w:marTop w:val="0"/>
      <w:marBottom w:val="0"/>
      <w:divBdr>
        <w:top w:val="none" w:sz="0" w:space="0" w:color="auto"/>
        <w:left w:val="none" w:sz="0" w:space="0" w:color="auto"/>
        <w:bottom w:val="none" w:sz="0" w:space="0" w:color="auto"/>
        <w:right w:val="none" w:sz="0" w:space="0" w:color="auto"/>
      </w:divBdr>
    </w:div>
    <w:div w:id="1508324718">
      <w:bodyDiv w:val="1"/>
      <w:marLeft w:val="0"/>
      <w:marRight w:val="0"/>
      <w:marTop w:val="0"/>
      <w:marBottom w:val="0"/>
      <w:divBdr>
        <w:top w:val="none" w:sz="0" w:space="0" w:color="auto"/>
        <w:left w:val="none" w:sz="0" w:space="0" w:color="auto"/>
        <w:bottom w:val="none" w:sz="0" w:space="0" w:color="auto"/>
        <w:right w:val="none" w:sz="0" w:space="0" w:color="auto"/>
      </w:divBdr>
    </w:div>
    <w:div w:id="1883639716">
      <w:bodyDiv w:val="1"/>
      <w:marLeft w:val="0"/>
      <w:marRight w:val="0"/>
      <w:marTop w:val="0"/>
      <w:marBottom w:val="0"/>
      <w:divBdr>
        <w:top w:val="none" w:sz="0" w:space="0" w:color="auto"/>
        <w:left w:val="none" w:sz="0" w:space="0" w:color="auto"/>
        <w:bottom w:val="none" w:sz="0" w:space="0" w:color="auto"/>
        <w:right w:val="none" w:sz="0" w:space="0" w:color="auto"/>
      </w:divBdr>
    </w:div>
    <w:div w:id="1897007539">
      <w:bodyDiv w:val="1"/>
      <w:marLeft w:val="0"/>
      <w:marRight w:val="0"/>
      <w:marTop w:val="0"/>
      <w:marBottom w:val="0"/>
      <w:divBdr>
        <w:top w:val="none" w:sz="0" w:space="0" w:color="auto"/>
        <w:left w:val="none" w:sz="0" w:space="0" w:color="auto"/>
        <w:bottom w:val="none" w:sz="0" w:space="0" w:color="auto"/>
        <w:right w:val="none" w:sz="0" w:space="0" w:color="auto"/>
      </w:divBdr>
    </w:div>
    <w:div w:id="2102291011">
      <w:bodyDiv w:val="1"/>
      <w:marLeft w:val="0"/>
      <w:marRight w:val="0"/>
      <w:marTop w:val="0"/>
      <w:marBottom w:val="0"/>
      <w:divBdr>
        <w:top w:val="none" w:sz="0" w:space="0" w:color="auto"/>
        <w:left w:val="none" w:sz="0" w:space="0" w:color="auto"/>
        <w:bottom w:val="none" w:sz="0" w:space="0" w:color="auto"/>
        <w:right w:val="none" w:sz="0" w:space="0" w:color="auto"/>
      </w:divBdr>
      <w:divsChild>
        <w:div w:id="5063178">
          <w:marLeft w:val="0"/>
          <w:marRight w:val="0"/>
          <w:marTop w:val="0"/>
          <w:marBottom w:val="0"/>
          <w:divBdr>
            <w:top w:val="none" w:sz="0" w:space="0" w:color="auto"/>
            <w:left w:val="none" w:sz="0" w:space="0" w:color="auto"/>
            <w:bottom w:val="none" w:sz="0" w:space="0" w:color="auto"/>
            <w:right w:val="none" w:sz="0" w:space="0" w:color="auto"/>
          </w:divBdr>
        </w:div>
        <w:div w:id="79497352">
          <w:marLeft w:val="0"/>
          <w:marRight w:val="0"/>
          <w:marTop w:val="0"/>
          <w:marBottom w:val="0"/>
          <w:divBdr>
            <w:top w:val="none" w:sz="0" w:space="0" w:color="auto"/>
            <w:left w:val="none" w:sz="0" w:space="0" w:color="auto"/>
            <w:bottom w:val="none" w:sz="0" w:space="0" w:color="auto"/>
            <w:right w:val="none" w:sz="0" w:space="0" w:color="auto"/>
          </w:divBdr>
        </w:div>
        <w:div w:id="112335802">
          <w:marLeft w:val="0"/>
          <w:marRight w:val="0"/>
          <w:marTop w:val="0"/>
          <w:marBottom w:val="0"/>
          <w:divBdr>
            <w:top w:val="none" w:sz="0" w:space="0" w:color="auto"/>
            <w:left w:val="none" w:sz="0" w:space="0" w:color="auto"/>
            <w:bottom w:val="none" w:sz="0" w:space="0" w:color="auto"/>
            <w:right w:val="none" w:sz="0" w:space="0" w:color="auto"/>
          </w:divBdr>
        </w:div>
        <w:div w:id="229005828">
          <w:marLeft w:val="0"/>
          <w:marRight w:val="0"/>
          <w:marTop w:val="0"/>
          <w:marBottom w:val="0"/>
          <w:divBdr>
            <w:top w:val="none" w:sz="0" w:space="0" w:color="auto"/>
            <w:left w:val="none" w:sz="0" w:space="0" w:color="auto"/>
            <w:bottom w:val="none" w:sz="0" w:space="0" w:color="auto"/>
            <w:right w:val="none" w:sz="0" w:space="0" w:color="auto"/>
          </w:divBdr>
        </w:div>
        <w:div w:id="391971255">
          <w:marLeft w:val="0"/>
          <w:marRight w:val="0"/>
          <w:marTop w:val="0"/>
          <w:marBottom w:val="0"/>
          <w:divBdr>
            <w:top w:val="none" w:sz="0" w:space="0" w:color="auto"/>
            <w:left w:val="none" w:sz="0" w:space="0" w:color="auto"/>
            <w:bottom w:val="none" w:sz="0" w:space="0" w:color="auto"/>
            <w:right w:val="none" w:sz="0" w:space="0" w:color="auto"/>
          </w:divBdr>
        </w:div>
        <w:div w:id="414202589">
          <w:marLeft w:val="0"/>
          <w:marRight w:val="0"/>
          <w:marTop w:val="0"/>
          <w:marBottom w:val="0"/>
          <w:divBdr>
            <w:top w:val="none" w:sz="0" w:space="0" w:color="auto"/>
            <w:left w:val="none" w:sz="0" w:space="0" w:color="auto"/>
            <w:bottom w:val="none" w:sz="0" w:space="0" w:color="auto"/>
            <w:right w:val="none" w:sz="0" w:space="0" w:color="auto"/>
          </w:divBdr>
        </w:div>
        <w:div w:id="444007185">
          <w:marLeft w:val="0"/>
          <w:marRight w:val="0"/>
          <w:marTop w:val="0"/>
          <w:marBottom w:val="0"/>
          <w:divBdr>
            <w:top w:val="none" w:sz="0" w:space="0" w:color="auto"/>
            <w:left w:val="none" w:sz="0" w:space="0" w:color="auto"/>
            <w:bottom w:val="none" w:sz="0" w:space="0" w:color="auto"/>
            <w:right w:val="none" w:sz="0" w:space="0" w:color="auto"/>
          </w:divBdr>
        </w:div>
        <w:div w:id="663431208">
          <w:marLeft w:val="0"/>
          <w:marRight w:val="0"/>
          <w:marTop w:val="0"/>
          <w:marBottom w:val="0"/>
          <w:divBdr>
            <w:top w:val="none" w:sz="0" w:space="0" w:color="auto"/>
            <w:left w:val="none" w:sz="0" w:space="0" w:color="auto"/>
            <w:bottom w:val="none" w:sz="0" w:space="0" w:color="auto"/>
            <w:right w:val="none" w:sz="0" w:space="0" w:color="auto"/>
          </w:divBdr>
        </w:div>
        <w:div w:id="773787748">
          <w:marLeft w:val="0"/>
          <w:marRight w:val="0"/>
          <w:marTop w:val="0"/>
          <w:marBottom w:val="0"/>
          <w:divBdr>
            <w:top w:val="none" w:sz="0" w:space="0" w:color="auto"/>
            <w:left w:val="none" w:sz="0" w:space="0" w:color="auto"/>
            <w:bottom w:val="none" w:sz="0" w:space="0" w:color="auto"/>
            <w:right w:val="none" w:sz="0" w:space="0" w:color="auto"/>
          </w:divBdr>
        </w:div>
        <w:div w:id="1101874167">
          <w:marLeft w:val="0"/>
          <w:marRight w:val="0"/>
          <w:marTop w:val="0"/>
          <w:marBottom w:val="0"/>
          <w:divBdr>
            <w:top w:val="none" w:sz="0" w:space="0" w:color="auto"/>
            <w:left w:val="none" w:sz="0" w:space="0" w:color="auto"/>
            <w:bottom w:val="none" w:sz="0" w:space="0" w:color="auto"/>
            <w:right w:val="none" w:sz="0" w:space="0" w:color="auto"/>
          </w:divBdr>
        </w:div>
        <w:div w:id="1400404513">
          <w:marLeft w:val="0"/>
          <w:marRight w:val="0"/>
          <w:marTop w:val="0"/>
          <w:marBottom w:val="0"/>
          <w:divBdr>
            <w:top w:val="none" w:sz="0" w:space="0" w:color="auto"/>
            <w:left w:val="none" w:sz="0" w:space="0" w:color="auto"/>
            <w:bottom w:val="none" w:sz="0" w:space="0" w:color="auto"/>
            <w:right w:val="none" w:sz="0" w:space="0" w:color="auto"/>
          </w:divBdr>
        </w:div>
        <w:div w:id="1406949032">
          <w:marLeft w:val="0"/>
          <w:marRight w:val="0"/>
          <w:marTop w:val="0"/>
          <w:marBottom w:val="0"/>
          <w:divBdr>
            <w:top w:val="none" w:sz="0" w:space="0" w:color="auto"/>
            <w:left w:val="none" w:sz="0" w:space="0" w:color="auto"/>
            <w:bottom w:val="none" w:sz="0" w:space="0" w:color="auto"/>
            <w:right w:val="none" w:sz="0" w:space="0" w:color="auto"/>
          </w:divBdr>
        </w:div>
        <w:div w:id="1509559327">
          <w:marLeft w:val="0"/>
          <w:marRight w:val="0"/>
          <w:marTop w:val="0"/>
          <w:marBottom w:val="0"/>
          <w:divBdr>
            <w:top w:val="none" w:sz="0" w:space="0" w:color="auto"/>
            <w:left w:val="none" w:sz="0" w:space="0" w:color="auto"/>
            <w:bottom w:val="none" w:sz="0" w:space="0" w:color="auto"/>
            <w:right w:val="none" w:sz="0" w:space="0" w:color="auto"/>
          </w:divBdr>
        </w:div>
        <w:div w:id="1643803059">
          <w:marLeft w:val="0"/>
          <w:marRight w:val="0"/>
          <w:marTop w:val="0"/>
          <w:marBottom w:val="0"/>
          <w:divBdr>
            <w:top w:val="none" w:sz="0" w:space="0" w:color="auto"/>
            <w:left w:val="none" w:sz="0" w:space="0" w:color="auto"/>
            <w:bottom w:val="none" w:sz="0" w:space="0" w:color="auto"/>
            <w:right w:val="none" w:sz="0" w:space="0" w:color="auto"/>
          </w:divBdr>
        </w:div>
        <w:div w:id="19854235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package" Target="embeddings/Microsoft_Word-Dokument.docx"/><Relationship Id="rId18" Type="http://schemas.openxmlformats.org/officeDocument/2006/relationships/package" Target="embeddings/Microsoft_Word-Dokument1.docx"/><Relationship Id="rId26" Type="http://schemas.openxmlformats.org/officeDocument/2006/relationships/hyperlink" Target="http://www.imf.org/external/pubs/ft/op/238/index.htm" TargetMode="External"/><Relationship Id="rId3" Type="http://schemas.openxmlformats.org/officeDocument/2006/relationships/styles" Target="styles.xml"/><Relationship Id="rId21" Type="http://schemas.openxmlformats.org/officeDocument/2006/relationships/hyperlink" Target="http://ideas.repec.org/s/pal/imfstp.html"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hyperlink" Target="http://bit.ly/XuxYxl"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ideas.repec.org/a/pal/imfstp/v40y1993i1p108-15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imf.org/external/np/pp/eng/2012/111412.pdf"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bit.ly/QSqrVQ"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hyperlink" Target="http://bit.ly/VpqsgL" TargetMode="External"/><Relationship Id="rId27" Type="http://schemas.openxmlformats.org/officeDocument/2006/relationships/hyperlink" Target="http://bit.ly/12h2wlK"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orldbank.270a.info/classification/indicator/GCI.8THPILLAR.XQ.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arbara\Dropbox\Capital%20Account%20Controls\paper%20LASA%202013%20CAR%20Brazil\Data%20and%20Graphs\Brazil%20-%20Cambio%20-%20IPEA%20Data.xls"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Barbara\Desktop\Eigene%20Dateien\ARTIKEL\Diss\diss%202000\Excel-Dateien\Diss%20IV%20-%20P%20Real.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'GRAPH '!$C$3</c:f>
              <c:strCache>
                <c:ptCount val="1"/>
                <c:pt idx="0">
                  <c:v>Nominal Exchange Rates (R$/ US$) </c:v>
                </c:pt>
              </c:strCache>
            </c:strRef>
          </c:tx>
          <c:marker>
            <c:symbol val="none"/>
          </c:marker>
          <c:cat>
            <c:strRef>
              <c:f>'GRAPH '!$A$4:$A$70</c:f>
              <c:strCache>
                <c:ptCount val="67"/>
                <c:pt idx="0">
                  <c:v>1994.06</c:v>
                </c:pt>
                <c:pt idx="1">
                  <c:v>1994.07</c:v>
                </c:pt>
                <c:pt idx="2">
                  <c:v>1994.08</c:v>
                </c:pt>
                <c:pt idx="3">
                  <c:v>1994.09</c:v>
                </c:pt>
                <c:pt idx="4">
                  <c:v>1994.10</c:v>
                </c:pt>
                <c:pt idx="5">
                  <c:v>1994.11</c:v>
                </c:pt>
                <c:pt idx="6">
                  <c:v>1994.12</c:v>
                </c:pt>
                <c:pt idx="7">
                  <c:v>1995.01</c:v>
                </c:pt>
                <c:pt idx="8">
                  <c:v>1995.02</c:v>
                </c:pt>
                <c:pt idx="9">
                  <c:v>1995.03</c:v>
                </c:pt>
                <c:pt idx="10">
                  <c:v>1995.04</c:v>
                </c:pt>
                <c:pt idx="11">
                  <c:v>1995.05</c:v>
                </c:pt>
                <c:pt idx="12">
                  <c:v>1995.06</c:v>
                </c:pt>
                <c:pt idx="13">
                  <c:v>1995.07</c:v>
                </c:pt>
                <c:pt idx="14">
                  <c:v>1995.08</c:v>
                </c:pt>
                <c:pt idx="15">
                  <c:v>1995.09</c:v>
                </c:pt>
                <c:pt idx="16">
                  <c:v>1995.10</c:v>
                </c:pt>
                <c:pt idx="17">
                  <c:v>1995.11</c:v>
                </c:pt>
                <c:pt idx="18">
                  <c:v>1995.12</c:v>
                </c:pt>
                <c:pt idx="19">
                  <c:v>1996.01</c:v>
                </c:pt>
                <c:pt idx="20">
                  <c:v>1996.02</c:v>
                </c:pt>
                <c:pt idx="21">
                  <c:v>1996.03</c:v>
                </c:pt>
                <c:pt idx="22">
                  <c:v>1996.04</c:v>
                </c:pt>
                <c:pt idx="23">
                  <c:v>1996.05</c:v>
                </c:pt>
                <c:pt idx="24">
                  <c:v>1996.06</c:v>
                </c:pt>
                <c:pt idx="25">
                  <c:v>1996.07</c:v>
                </c:pt>
                <c:pt idx="26">
                  <c:v>1996.08</c:v>
                </c:pt>
                <c:pt idx="27">
                  <c:v>1996.09</c:v>
                </c:pt>
                <c:pt idx="28">
                  <c:v>1996.10</c:v>
                </c:pt>
                <c:pt idx="29">
                  <c:v>1996.11</c:v>
                </c:pt>
                <c:pt idx="30">
                  <c:v>1996.12</c:v>
                </c:pt>
                <c:pt idx="31">
                  <c:v>1997.01</c:v>
                </c:pt>
                <c:pt idx="32">
                  <c:v>1997.02</c:v>
                </c:pt>
                <c:pt idx="33">
                  <c:v>1997.03</c:v>
                </c:pt>
                <c:pt idx="34">
                  <c:v>1997.04</c:v>
                </c:pt>
                <c:pt idx="35">
                  <c:v>1997.05</c:v>
                </c:pt>
                <c:pt idx="36">
                  <c:v>1997.06</c:v>
                </c:pt>
                <c:pt idx="37">
                  <c:v>1997.07</c:v>
                </c:pt>
                <c:pt idx="38">
                  <c:v>1997.08</c:v>
                </c:pt>
                <c:pt idx="39">
                  <c:v>1997.09</c:v>
                </c:pt>
                <c:pt idx="40">
                  <c:v>1997.10</c:v>
                </c:pt>
                <c:pt idx="41">
                  <c:v>1997.11</c:v>
                </c:pt>
                <c:pt idx="42">
                  <c:v>1997.12</c:v>
                </c:pt>
                <c:pt idx="43">
                  <c:v>1998.01</c:v>
                </c:pt>
                <c:pt idx="44">
                  <c:v>1998.02</c:v>
                </c:pt>
                <c:pt idx="45">
                  <c:v>1998.03</c:v>
                </c:pt>
                <c:pt idx="46">
                  <c:v>1998.04</c:v>
                </c:pt>
                <c:pt idx="47">
                  <c:v>1998.05</c:v>
                </c:pt>
                <c:pt idx="48">
                  <c:v>1998.06</c:v>
                </c:pt>
                <c:pt idx="49">
                  <c:v>1998.07</c:v>
                </c:pt>
                <c:pt idx="50">
                  <c:v>1998.08</c:v>
                </c:pt>
                <c:pt idx="51">
                  <c:v>1998.09</c:v>
                </c:pt>
                <c:pt idx="52">
                  <c:v>1998.10</c:v>
                </c:pt>
                <c:pt idx="53">
                  <c:v>1998.11</c:v>
                </c:pt>
                <c:pt idx="54">
                  <c:v>1998.12</c:v>
                </c:pt>
                <c:pt idx="55">
                  <c:v>1999.01</c:v>
                </c:pt>
                <c:pt idx="56">
                  <c:v>1999.02</c:v>
                </c:pt>
                <c:pt idx="57">
                  <c:v>1999.03</c:v>
                </c:pt>
                <c:pt idx="58">
                  <c:v>1999.04</c:v>
                </c:pt>
                <c:pt idx="59">
                  <c:v>1999.05</c:v>
                </c:pt>
                <c:pt idx="60">
                  <c:v>1999.06</c:v>
                </c:pt>
                <c:pt idx="61">
                  <c:v>1999.07</c:v>
                </c:pt>
                <c:pt idx="62">
                  <c:v>1999.08</c:v>
                </c:pt>
                <c:pt idx="63">
                  <c:v>1999.09</c:v>
                </c:pt>
                <c:pt idx="64">
                  <c:v>1999.10</c:v>
                </c:pt>
                <c:pt idx="65">
                  <c:v>1999.11</c:v>
                </c:pt>
                <c:pt idx="66">
                  <c:v>1999.12</c:v>
                </c:pt>
              </c:strCache>
            </c:strRef>
          </c:cat>
          <c:val>
            <c:numRef>
              <c:f>'GRAPH '!$C$4:$C$70</c:f>
              <c:numCache>
                <c:formatCode>#,##0.0000</c:formatCode>
                <c:ptCount val="67"/>
                <c:pt idx="0">
                  <c:v>0.95000000000000095</c:v>
                </c:pt>
                <c:pt idx="1">
                  <c:v>0.93799999999999994</c:v>
                </c:pt>
                <c:pt idx="2">
                  <c:v>0.88700000000000201</c:v>
                </c:pt>
                <c:pt idx="3">
                  <c:v>0.85100000000000198</c:v>
                </c:pt>
                <c:pt idx="4">
                  <c:v>0.84400000000000197</c:v>
                </c:pt>
                <c:pt idx="5">
                  <c:v>0.84300000000000197</c:v>
                </c:pt>
                <c:pt idx="6">
                  <c:v>0.84400000000000197</c:v>
                </c:pt>
                <c:pt idx="7">
                  <c:v>0.84000000000000197</c:v>
                </c:pt>
                <c:pt idx="8">
                  <c:v>0.84950000000000003</c:v>
                </c:pt>
                <c:pt idx="9">
                  <c:v>0.89400000000000202</c:v>
                </c:pt>
                <c:pt idx="10">
                  <c:v>0.91100000000000003</c:v>
                </c:pt>
                <c:pt idx="11">
                  <c:v>0.90400000000000003</c:v>
                </c:pt>
                <c:pt idx="12">
                  <c:v>0.92</c:v>
                </c:pt>
                <c:pt idx="13">
                  <c:v>0.93400000000000005</c:v>
                </c:pt>
                <c:pt idx="14">
                  <c:v>0.94899999999999995</c:v>
                </c:pt>
                <c:pt idx="15">
                  <c:v>0.95200000000000196</c:v>
                </c:pt>
                <c:pt idx="16">
                  <c:v>0.96090000000000197</c:v>
                </c:pt>
                <c:pt idx="17">
                  <c:v>0.96560000000000601</c:v>
                </c:pt>
                <c:pt idx="18">
                  <c:v>0.97150000000000003</c:v>
                </c:pt>
                <c:pt idx="19">
                  <c:v>0.97760000000000502</c:v>
                </c:pt>
                <c:pt idx="20">
                  <c:v>0.98319999999999996</c:v>
                </c:pt>
                <c:pt idx="21">
                  <c:v>0.98719999999999997</c:v>
                </c:pt>
                <c:pt idx="22">
                  <c:v>0.99170000000000003</c:v>
                </c:pt>
                <c:pt idx="23">
                  <c:v>0.99760000000000004</c:v>
                </c:pt>
                <c:pt idx="24">
                  <c:v>1.0035999999999849</c:v>
                </c:pt>
                <c:pt idx="25">
                  <c:v>1.0104</c:v>
                </c:pt>
                <c:pt idx="26">
                  <c:v>1.0161</c:v>
                </c:pt>
                <c:pt idx="27">
                  <c:v>1.0206999999999899</c:v>
                </c:pt>
                <c:pt idx="28">
                  <c:v>1.0267999999999891</c:v>
                </c:pt>
                <c:pt idx="29">
                  <c:v>1.0324</c:v>
                </c:pt>
                <c:pt idx="30">
                  <c:v>1.0386</c:v>
                </c:pt>
                <c:pt idx="31">
                  <c:v>1.0452999999999879</c:v>
                </c:pt>
                <c:pt idx="32">
                  <c:v>1.0507</c:v>
                </c:pt>
                <c:pt idx="33">
                  <c:v>1.0585</c:v>
                </c:pt>
                <c:pt idx="34">
                  <c:v>1.0629999999999891</c:v>
                </c:pt>
                <c:pt idx="35">
                  <c:v>1.0709</c:v>
                </c:pt>
                <c:pt idx="36">
                  <c:v>1.0761000000000001</c:v>
                </c:pt>
                <c:pt idx="37">
                  <c:v>1.0826</c:v>
                </c:pt>
                <c:pt idx="38">
                  <c:v>1.0908</c:v>
                </c:pt>
                <c:pt idx="39">
                  <c:v>1.0955999999999879</c:v>
                </c:pt>
                <c:pt idx="40">
                  <c:v>1.1023000000000001</c:v>
                </c:pt>
                <c:pt idx="41">
                  <c:v>1.109</c:v>
                </c:pt>
                <c:pt idx="42">
                  <c:v>1.115599999999989</c:v>
                </c:pt>
                <c:pt idx="43">
                  <c:v>1.1229</c:v>
                </c:pt>
                <c:pt idx="44">
                  <c:v>1.1295999999999891</c:v>
                </c:pt>
                <c:pt idx="45">
                  <c:v>1.1366000000000001</c:v>
                </c:pt>
                <c:pt idx="46">
                  <c:v>1.1435</c:v>
                </c:pt>
                <c:pt idx="47">
                  <c:v>1.1496999999999891</c:v>
                </c:pt>
                <c:pt idx="48">
                  <c:v>1.1560999999999999</c:v>
                </c:pt>
                <c:pt idx="49">
                  <c:v>1.1626000000000001</c:v>
                </c:pt>
                <c:pt idx="50">
                  <c:v>1.1760999999999999</c:v>
                </c:pt>
                <c:pt idx="51">
                  <c:v>1.1848000000000001</c:v>
                </c:pt>
                <c:pt idx="52">
                  <c:v>1.1923999999999999</c:v>
                </c:pt>
                <c:pt idx="53">
                  <c:v>1.2003999999999879</c:v>
                </c:pt>
                <c:pt idx="54">
                  <c:v>1.207899999999982</c:v>
                </c:pt>
                <c:pt idx="55">
                  <c:v>1.9823999999999971</c:v>
                </c:pt>
                <c:pt idx="56">
                  <c:v>2.0640000000000001</c:v>
                </c:pt>
                <c:pt idx="57">
                  <c:v>1.7211999999999901</c:v>
                </c:pt>
                <c:pt idx="58">
                  <c:v>1.6598999999999891</c:v>
                </c:pt>
                <c:pt idx="59">
                  <c:v>1.7231999999999901</c:v>
                </c:pt>
                <c:pt idx="60">
                  <c:v>1.7686999999999931</c:v>
                </c:pt>
                <c:pt idx="61">
                  <c:v>1.7884000000000031</c:v>
                </c:pt>
                <c:pt idx="62">
                  <c:v>1.915099999999994</c:v>
                </c:pt>
                <c:pt idx="63">
                  <c:v>1.9214999999999891</c:v>
                </c:pt>
                <c:pt idx="64">
                  <c:v>1.952199999999997</c:v>
                </c:pt>
                <c:pt idx="65">
                  <c:v>1.9218999999999851</c:v>
                </c:pt>
                <c:pt idx="66">
                  <c:v>1.788200000000004</c:v>
                </c:pt>
              </c:numCache>
            </c:numRef>
          </c:val>
          <c:smooth val="0"/>
          <c:extLst>
            <c:ext xmlns:c16="http://schemas.microsoft.com/office/drawing/2014/chart" uri="{C3380CC4-5D6E-409C-BE32-E72D297353CC}">
              <c16:uniqueId val="{00000000-CD2D-42AD-A1E4-7807420407FE}"/>
            </c:ext>
          </c:extLst>
        </c:ser>
        <c:ser>
          <c:idx val="2"/>
          <c:order val="2"/>
          <c:tx>
            <c:strRef>
              <c:f>'GRAPH '!$D$3</c:f>
              <c:strCache>
                <c:ptCount val="1"/>
                <c:pt idx="0">
                  <c:v>Floor </c:v>
                </c:pt>
              </c:strCache>
            </c:strRef>
          </c:tx>
          <c:spPr>
            <a:ln>
              <a:solidFill>
                <a:schemeClr val="tx1">
                  <a:lumMod val="75000"/>
                  <a:lumOff val="25000"/>
                </a:schemeClr>
              </a:solidFill>
            </a:ln>
          </c:spPr>
          <c:marker>
            <c:symbol val="none"/>
          </c:marker>
          <c:cat>
            <c:strRef>
              <c:f>'GRAPH '!$A$4:$A$70</c:f>
              <c:strCache>
                <c:ptCount val="67"/>
                <c:pt idx="0">
                  <c:v>1994.06</c:v>
                </c:pt>
                <c:pt idx="1">
                  <c:v>1994.07</c:v>
                </c:pt>
                <c:pt idx="2">
                  <c:v>1994.08</c:v>
                </c:pt>
                <c:pt idx="3">
                  <c:v>1994.09</c:v>
                </c:pt>
                <c:pt idx="4">
                  <c:v>1994.10</c:v>
                </c:pt>
                <c:pt idx="5">
                  <c:v>1994.11</c:v>
                </c:pt>
                <c:pt idx="6">
                  <c:v>1994.12</c:v>
                </c:pt>
                <c:pt idx="7">
                  <c:v>1995.01</c:v>
                </c:pt>
                <c:pt idx="8">
                  <c:v>1995.02</c:v>
                </c:pt>
                <c:pt idx="9">
                  <c:v>1995.03</c:v>
                </c:pt>
                <c:pt idx="10">
                  <c:v>1995.04</c:v>
                </c:pt>
                <c:pt idx="11">
                  <c:v>1995.05</c:v>
                </c:pt>
                <c:pt idx="12">
                  <c:v>1995.06</c:v>
                </c:pt>
                <c:pt idx="13">
                  <c:v>1995.07</c:v>
                </c:pt>
                <c:pt idx="14">
                  <c:v>1995.08</c:v>
                </c:pt>
                <c:pt idx="15">
                  <c:v>1995.09</c:v>
                </c:pt>
                <c:pt idx="16">
                  <c:v>1995.10</c:v>
                </c:pt>
                <c:pt idx="17">
                  <c:v>1995.11</c:v>
                </c:pt>
                <c:pt idx="18">
                  <c:v>1995.12</c:v>
                </c:pt>
                <c:pt idx="19">
                  <c:v>1996.01</c:v>
                </c:pt>
                <c:pt idx="20">
                  <c:v>1996.02</c:v>
                </c:pt>
                <c:pt idx="21">
                  <c:v>1996.03</c:v>
                </c:pt>
                <c:pt idx="22">
                  <c:v>1996.04</c:v>
                </c:pt>
                <c:pt idx="23">
                  <c:v>1996.05</c:v>
                </c:pt>
                <c:pt idx="24">
                  <c:v>1996.06</c:v>
                </c:pt>
                <c:pt idx="25">
                  <c:v>1996.07</c:v>
                </c:pt>
                <c:pt idx="26">
                  <c:v>1996.08</c:v>
                </c:pt>
                <c:pt idx="27">
                  <c:v>1996.09</c:v>
                </c:pt>
                <c:pt idx="28">
                  <c:v>1996.10</c:v>
                </c:pt>
                <c:pt idx="29">
                  <c:v>1996.11</c:v>
                </c:pt>
                <c:pt idx="30">
                  <c:v>1996.12</c:v>
                </c:pt>
                <c:pt idx="31">
                  <c:v>1997.01</c:v>
                </c:pt>
                <c:pt idx="32">
                  <c:v>1997.02</c:v>
                </c:pt>
                <c:pt idx="33">
                  <c:v>1997.03</c:v>
                </c:pt>
                <c:pt idx="34">
                  <c:v>1997.04</c:v>
                </c:pt>
                <c:pt idx="35">
                  <c:v>1997.05</c:v>
                </c:pt>
                <c:pt idx="36">
                  <c:v>1997.06</c:v>
                </c:pt>
                <c:pt idx="37">
                  <c:v>1997.07</c:v>
                </c:pt>
                <c:pt idx="38">
                  <c:v>1997.08</c:v>
                </c:pt>
                <c:pt idx="39">
                  <c:v>1997.09</c:v>
                </c:pt>
                <c:pt idx="40">
                  <c:v>1997.10</c:v>
                </c:pt>
                <c:pt idx="41">
                  <c:v>1997.11</c:v>
                </c:pt>
                <c:pt idx="42">
                  <c:v>1997.12</c:v>
                </c:pt>
                <c:pt idx="43">
                  <c:v>1998.01</c:v>
                </c:pt>
                <c:pt idx="44">
                  <c:v>1998.02</c:v>
                </c:pt>
                <c:pt idx="45">
                  <c:v>1998.03</c:v>
                </c:pt>
                <c:pt idx="46">
                  <c:v>1998.04</c:v>
                </c:pt>
                <c:pt idx="47">
                  <c:v>1998.05</c:v>
                </c:pt>
                <c:pt idx="48">
                  <c:v>1998.06</c:v>
                </c:pt>
                <c:pt idx="49">
                  <c:v>1998.07</c:v>
                </c:pt>
                <c:pt idx="50">
                  <c:v>1998.08</c:v>
                </c:pt>
                <c:pt idx="51">
                  <c:v>1998.09</c:v>
                </c:pt>
                <c:pt idx="52">
                  <c:v>1998.10</c:v>
                </c:pt>
                <c:pt idx="53">
                  <c:v>1998.11</c:v>
                </c:pt>
                <c:pt idx="54">
                  <c:v>1998.12</c:v>
                </c:pt>
                <c:pt idx="55">
                  <c:v>1999.01</c:v>
                </c:pt>
                <c:pt idx="56">
                  <c:v>1999.02</c:v>
                </c:pt>
                <c:pt idx="57">
                  <c:v>1999.03</c:v>
                </c:pt>
                <c:pt idx="58">
                  <c:v>1999.04</c:v>
                </c:pt>
                <c:pt idx="59">
                  <c:v>1999.05</c:v>
                </c:pt>
                <c:pt idx="60">
                  <c:v>1999.06</c:v>
                </c:pt>
                <c:pt idx="61">
                  <c:v>1999.07</c:v>
                </c:pt>
                <c:pt idx="62">
                  <c:v>1999.08</c:v>
                </c:pt>
                <c:pt idx="63">
                  <c:v>1999.09</c:v>
                </c:pt>
                <c:pt idx="64">
                  <c:v>1999.10</c:v>
                </c:pt>
                <c:pt idx="65">
                  <c:v>1999.11</c:v>
                </c:pt>
                <c:pt idx="66">
                  <c:v>1999.12</c:v>
                </c:pt>
              </c:strCache>
            </c:strRef>
          </c:cat>
          <c:val>
            <c:numRef>
              <c:f>'GRAPH '!$D$4:$D$70</c:f>
              <c:numCache>
                <c:formatCode>General</c:formatCode>
                <c:ptCount val="67"/>
                <c:pt idx="9">
                  <c:v>0.880000000000001</c:v>
                </c:pt>
                <c:pt idx="10">
                  <c:v>0.880000000000001</c:v>
                </c:pt>
                <c:pt idx="11">
                  <c:v>0.880000000000001</c:v>
                </c:pt>
                <c:pt idx="12">
                  <c:v>0.91</c:v>
                </c:pt>
                <c:pt idx="13">
                  <c:v>0.91</c:v>
                </c:pt>
                <c:pt idx="14">
                  <c:v>0.91</c:v>
                </c:pt>
                <c:pt idx="15">
                  <c:v>0.91</c:v>
                </c:pt>
                <c:pt idx="16">
                  <c:v>0.91</c:v>
                </c:pt>
                <c:pt idx="17">
                  <c:v>0.91</c:v>
                </c:pt>
                <c:pt idx="18">
                  <c:v>0.91</c:v>
                </c:pt>
                <c:pt idx="19">
                  <c:v>0.97</c:v>
                </c:pt>
                <c:pt idx="20">
                  <c:v>0.97</c:v>
                </c:pt>
                <c:pt idx="21">
                  <c:v>0.97</c:v>
                </c:pt>
                <c:pt idx="22">
                  <c:v>0.97</c:v>
                </c:pt>
                <c:pt idx="23">
                  <c:v>0.97</c:v>
                </c:pt>
                <c:pt idx="24">
                  <c:v>0.97</c:v>
                </c:pt>
                <c:pt idx="25">
                  <c:v>0.97</c:v>
                </c:pt>
                <c:pt idx="26">
                  <c:v>0.97</c:v>
                </c:pt>
                <c:pt idx="27">
                  <c:v>0.97</c:v>
                </c:pt>
                <c:pt idx="28">
                  <c:v>0.97</c:v>
                </c:pt>
                <c:pt idx="29">
                  <c:v>0.97</c:v>
                </c:pt>
                <c:pt idx="30">
                  <c:v>0.97</c:v>
                </c:pt>
                <c:pt idx="31">
                  <c:v>0.97</c:v>
                </c:pt>
                <c:pt idx="32">
                  <c:v>1.05</c:v>
                </c:pt>
                <c:pt idx="33">
                  <c:v>1.05</c:v>
                </c:pt>
                <c:pt idx="34">
                  <c:v>1.05</c:v>
                </c:pt>
                <c:pt idx="35">
                  <c:v>1.05</c:v>
                </c:pt>
                <c:pt idx="36">
                  <c:v>1.05</c:v>
                </c:pt>
                <c:pt idx="37">
                  <c:v>1.05</c:v>
                </c:pt>
                <c:pt idx="38">
                  <c:v>1.05</c:v>
                </c:pt>
                <c:pt idx="39">
                  <c:v>1.05</c:v>
                </c:pt>
                <c:pt idx="40">
                  <c:v>1.05</c:v>
                </c:pt>
                <c:pt idx="41">
                  <c:v>1.05</c:v>
                </c:pt>
                <c:pt idx="42">
                  <c:v>1.05</c:v>
                </c:pt>
                <c:pt idx="43">
                  <c:v>1.1200000000000001</c:v>
                </c:pt>
                <c:pt idx="44">
                  <c:v>1.1200000000000001</c:v>
                </c:pt>
                <c:pt idx="45">
                  <c:v>1.1200000000000001</c:v>
                </c:pt>
                <c:pt idx="46">
                  <c:v>1.1200000000000001</c:v>
                </c:pt>
                <c:pt idx="47">
                  <c:v>1.1200000000000001</c:v>
                </c:pt>
                <c:pt idx="48">
                  <c:v>1.1200000000000001</c:v>
                </c:pt>
                <c:pt idx="49">
                  <c:v>1.1200000000000001</c:v>
                </c:pt>
                <c:pt idx="50">
                  <c:v>1.1200000000000001</c:v>
                </c:pt>
                <c:pt idx="51">
                  <c:v>1.1200000000000001</c:v>
                </c:pt>
                <c:pt idx="52">
                  <c:v>1.1200000000000001</c:v>
                </c:pt>
                <c:pt idx="53">
                  <c:v>1.1200000000000001</c:v>
                </c:pt>
                <c:pt idx="54">
                  <c:v>1.1200000000000001</c:v>
                </c:pt>
                <c:pt idx="55">
                  <c:v>1.2</c:v>
                </c:pt>
                <c:pt idx="56">
                  <c:v>1.2</c:v>
                </c:pt>
                <c:pt idx="57">
                  <c:v>1.2</c:v>
                </c:pt>
                <c:pt idx="58">
                  <c:v>1.2</c:v>
                </c:pt>
                <c:pt idx="59">
                  <c:v>1.2</c:v>
                </c:pt>
                <c:pt idx="60">
                  <c:v>1.2</c:v>
                </c:pt>
                <c:pt idx="61">
                  <c:v>1.2</c:v>
                </c:pt>
                <c:pt idx="62">
                  <c:v>1.2</c:v>
                </c:pt>
                <c:pt idx="63">
                  <c:v>1.2</c:v>
                </c:pt>
                <c:pt idx="64">
                  <c:v>1.2</c:v>
                </c:pt>
                <c:pt idx="65">
                  <c:v>1.2</c:v>
                </c:pt>
                <c:pt idx="66">
                  <c:v>1.2</c:v>
                </c:pt>
              </c:numCache>
            </c:numRef>
          </c:val>
          <c:smooth val="0"/>
          <c:extLst>
            <c:ext xmlns:c16="http://schemas.microsoft.com/office/drawing/2014/chart" uri="{C3380CC4-5D6E-409C-BE32-E72D297353CC}">
              <c16:uniqueId val="{00000001-CD2D-42AD-A1E4-7807420407FE}"/>
            </c:ext>
          </c:extLst>
        </c:ser>
        <c:ser>
          <c:idx val="3"/>
          <c:order val="3"/>
          <c:tx>
            <c:strRef>
              <c:f>'GRAPH '!$E$3</c:f>
              <c:strCache>
                <c:ptCount val="1"/>
                <c:pt idx="0">
                  <c:v>Roof</c:v>
                </c:pt>
              </c:strCache>
            </c:strRef>
          </c:tx>
          <c:spPr>
            <a:ln>
              <a:solidFill>
                <a:schemeClr val="bg1">
                  <a:lumMod val="50000"/>
                </a:schemeClr>
              </a:solidFill>
            </a:ln>
          </c:spPr>
          <c:marker>
            <c:symbol val="none"/>
          </c:marker>
          <c:cat>
            <c:strRef>
              <c:f>'GRAPH '!$A$4:$A$70</c:f>
              <c:strCache>
                <c:ptCount val="67"/>
                <c:pt idx="0">
                  <c:v>1994.06</c:v>
                </c:pt>
                <c:pt idx="1">
                  <c:v>1994.07</c:v>
                </c:pt>
                <c:pt idx="2">
                  <c:v>1994.08</c:v>
                </c:pt>
                <c:pt idx="3">
                  <c:v>1994.09</c:v>
                </c:pt>
                <c:pt idx="4">
                  <c:v>1994.10</c:v>
                </c:pt>
                <c:pt idx="5">
                  <c:v>1994.11</c:v>
                </c:pt>
                <c:pt idx="6">
                  <c:v>1994.12</c:v>
                </c:pt>
                <c:pt idx="7">
                  <c:v>1995.01</c:v>
                </c:pt>
                <c:pt idx="8">
                  <c:v>1995.02</c:v>
                </c:pt>
                <c:pt idx="9">
                  <c:v>1995.03</c:v>
                </c:pt>
                <c:pt idx="10">
                  <c:v>1995.04</c:v>
                </c:pt>
                <c:pt idx="11">
                  <c:v>1995.05</c:v>
                </c:pt>
                <c:pt idx="12">
                  <c:v>1995.06</c:v>
                </c:pt>
                <c:pt idx="13">
                  <c:v>1995.07</c:v>
                </c:pt>
                <c:pt idx="14">
                  <c:v>1995.08</c:v>
                </c:pt>
                <c:pt idx="15">
                  <c:v>1995.09</c:v>
                </c:pt>
                <c:pt idx="16">
                  <c:v>1995.10</c:v>
                </c:pt>
                <c:pt idx="17">
                  <c:v>1995.11</c:v>
                </c:pt>
                <c:pt idx="18">
                  <c:v>1995.12</c:v>
                </c:pt>
                <c:pt idx="19">
                  <c:v>1996.01</c:v>
                </c:pt>
                <c:pt idx="20">
                  <c:v>1996.02</c:v>
                </c:pt>
                <c:pt idx="21">
                  <c:v>1996.03</c:v>
                </c:pt>
                <c:pt idx="22">
                  <c:v>1996.04</c:v>
                </c:pt>
                <c:pt idx="23">
                  <c:v>1996.05</c:v>
                </c:pt>
                <c:pt idx="24">
                  <c:v>1996.06</c:v>
                </c:pt>
                <c:pt idx="25">
                  <c:v>1996.07</c:v>
                </c:pt>
                <c:pt idx="26">
                  <c:v>1996.08</c:v>
                </c:pt>
                <c:pt idx="27">
                  <c:v>1996.09</c:v>
                </c:pt>
                <c:pt idx="28">
                  <c:v>1996.10</c:v>
                </c:pt>
                <c:pt idx="29">
                  <c:v>1996.11</c:v>
                </c:pt>
                <c:pt idx="30">
                  <c:v>1996.12</c:v>
                </c:pt>
                <c:pt idx="31">
                  <c:v>1997.01</c:v>
                </c:pt>
                <c:pt idx="32">
                  <c:v>1997.02</c:v>
                </c:pt>
                <c:pt idx="33">
                  <c:v>1997.03</c:v>
                </c:pt>
                <c:pt idx="34">
                  <c:v>1997.04</c:v>
                </c:pt>
                <c:pt idx="35">
                  <c:v>1997.05</c:v>
                </c:pt>
                <c:pt idx="36">
                  <c:v>1997.06</c:v>
                </c:pt>
                <c:pt idx="37">
                  <c:v>1997.07</c:v>
                </c:pt>
                <c:pt idx="38">
                  <c:v>1997.08</c:v>
                </c:pt>
                <c:pt idx="39">
                  <c:v>1997.09</c:v>
                </c:pt>
                <c:pt idx="40">
                  <c:v>1997.10</c:v>
                </c:pt>
                <c:pt idx="41">
                  <c:v>1997.11</c:v>
                </c:pt>
                <c:pt idx="42">
                  <c:v>1997.12</c:v>
                </c:pt>
                <c:pt idx="43">
                  <c:v>1998.01</c:v>
                </c:pt>
                <c:pt idx="44">
                  <c:v>1998.02</c:v>
                </c:pt>
                <c:pt idx="45">
                  <c:v>1998.03</c:v>
                </c:pt>
                <c:pt idx="46">
                  <c:v>1998.04</c:v>
                </c:pt>
                <c:pt idx="47">
                  <c:v>1998.05</c:v>
                </c:pt>
                <c:pt idx="48">
                  <c:v>1998.06</c:v>
                </c:pt>
                <c:pt idx="49">
                  <c:v>1998.07</c:v>
                </c:pt>
                <c:pt idx="50">
                  <c:v>1998.08</c:v>
                </c:pt>
                <c:pt idx="51">
                  <c:v>1998.09</c:v>
                </c:pt>
                <c:pt idx="52">
                  <c:v>1998.10</c:v>
                </c:pt>
                <c:pt idx="53">
                  <c:v>1998.11</c:v>
                </c:pt>
                <c:pt idx="54">
                  <c:v>1998.12</c:v>
                </c:pt>
                <c:pt idx="55">
                  <c:v>1999.01</c:v>
                </c:pt>
                <c:pt idx="56">
                  <c:v>1999.02</c:v>
                </c:pt>
                <c:pt idx="57">
                  <c:v>1999.03</c:v>
                </c:pt>
                <c:pt idx="58">
                  <c:v>1999.04</c:v>
                </c:pt>
                <c:pt idx="59">
                  <c:v>1999.05</c:v>
                </c:pt>
                <c:pt idx="60">
                  <c:v>1999.06</c:v>
                </c:pt>
                <c:pt idx="61">
                  <c:v>1999.07</c:v>
                </c:pt>
                <c:pt idx="62">
                  <c:v>1999.08</c:v>
                </c:pt>
                <c:pt idx="63">
                  <c:v>1999.09</c:v>
                </c:pt>
                <c:pt idx="64">
                  <c:v>1999.10</c:v>
                </c:pt>
                <c:pt idx="65">
                  <c:v>1999.11</c:v>
                </c:pt>
                <c:pt idx="66">
                  <c:v>1999.12</c:v>
                </c:pt>
              </c:strCache>
            </c:strRef>
          </c:cat>
          <c:val>
            <c:numRef>
              <c:f>'GRAPH '!$E$4:$E$70</c:f>
              <c:numCache>
                <c:formatCode>General</c:formatCode>
                <c:ptCount val="67"/>
                <c:pt idx="9">
                  <c:v>0.93</c:v>
                </c:pt>
                <c:pt idx="10">
                  <c:v>0.93</c:v>
                </c:pt>
                <c:pt idx="11">
                  <c:v>0.93</c:v>
                </c:pt>
                <c:pt idx="12">
                  <c:v>0.99</c:v>
                </c:pt>
                <c:pt idx="13">
                  <c:v>0.99</c:v>
                </c:pt>
                <c:pt idx="14">
                  <c:v>0.99</c:v>
                </c:pt>
                <c:pt idx="15">
                  <c:v>0.99</c:v>
                </c:pt>
                <c:pt idx="16">
                  <c:v>0.99</c:v>
                </c:pt>
                <c:pt idx="17">
                  <c:v>0.99</c:v>
                </c:pt>
                <c:pt idx="18">
                  <c:v>0.99</c:v>
                </c:pt>
                <c:pt idx="19">
                  <c:v>1.06</c:v>
                </c:pt>
                <c:pt idx="20">
                  <c:v>1.06</c:v>
                </c:pt>
                <c:pt idx="21">
                  <c:v>1.06</c:v>
                </c:pt>
                <c:pt idx="22">
                  <c:v>1.06</c:v>
                </c:pt>
                <c:pt idx="23">
                  <c:v>1.06</c:v>
                </c:pt>
                <c:pt idx="24">
                  <c:v>1.06</c:v>
                </c:pt>
                <c:pt idx="25">
                  <c:v>1.06</c:v>
                </c:pt>
                <c:pt idx="26">
                  <c:v>1.06</c:v>
                </c:pt>
                <c:pt idx="27">
                  <c:v>1.06</c:v>
                </c:pt>
                <c:pt idx="28">
                  <c:v>1.06</c:v>
                </c:pt>
                <c:pt idx="29">
                  <c:v>1.06</c:v>
                </c:pt>
                <c:pt idx="30">
                  <c:v>1.06</c:v>
                </c:pt>
                <c:pt idx="31">
                  <c:v>1.06</c:v>
                </c:pt>
                <c:pt idx="32">
                  <c:v>1.1399999999999879</c:v>
                </c:pt>
                <c:pt idx="33">
                  <c:v>1.1399999999999879</c:v>
                </c:pt>
                <c:pt idx="34">
                  <c:v>1.1399999999999879</c:v>
                </c:pt>
                <c:pt idx="35">
                  <c:v>1.1399999999999879</c:v>
                </c:pt>
                <c:pt idx="36">
                  <c:v>1.1399999999999879</c:v>
                </c:pt>
                <c:pt idx="37">
                  <c:v>1.1399999999999879</c:v>
                </c:pt>
                <c:pt idx="38">
                  <c:v>1.1399999999999879</c:v>
                </c:pt>
                <c:pt idx="39">
                  <c:v>1.1399999999999879</c:v>
                </c:pt>
                <c:pt idx="40">
                  <c:v>1.1399999999999879</c:v>
                </c:pt>
                <c:pt idx="41">
                  <c:v>1.1399999999999879</c:v>
                </c:pt>
                <c:pt idx="42">
                  <c:v>1.1399999999999879</c:v>
                </c:pt>
                <c:pt idx="43">
                  <c:v>1.22</c:v>
                </c:pt>
                <c:pt idx="44">
                  <c:v>1.22</c:v>
                </c:pt>
                <c:pt idx="45">
                  <c:v>1.22</c:v>
                </c:pt>
                <c:pt idx="46">
                  <c:v>1.22</c:v>
                </c:pt>
                <c:pt idx="47">
                  <c:v>1.22</c:v>
                </c:pt>
                <c:pt idx="48">
                  <c:v>1.22</c:v>
                </c:pt>
                <c:pt idx="49">
                  <c:v>1.22</c:v>
                </c:pt>
                <c:pt idx="50">
                  <c:v>1.22</c:v>
                </c:pt>
                <c:pt idx="51">
                  <c:v>1.22</c:v>
                </c:pt>
                <c:pt idx="52">
                  <c:v>1.22</c:v>
                </c:pt>
                <c:pt idx="53">
                  <c:v>1.22</c:v>
                </c:pt>
                <c:pt idx="54">
                  <c:v>1.22</c:v>
                </c:pt>
                <c:pt idx="55">
                  <c:v>1.32</c:v>
                </c:pt>
                <c:pt idx="56">
                  <c:v>1.32</c:v>
                </c:pt>
                <c:pt idx="57">
                  <c:v>1.32</c:v>
                </c:pt>
                <c:pt idx="58">
                  <c:v>1.32</c:v>
                </c:pt>
                <c:pt idx="59">
                  <c:v>1.32</c:v>
                </c:pt>
                <c:pt idx="60">
                  <c:v>1.32</c:v>
                </c:pt>
                <c:pt idx="61">
                  <c:v>1.32</c:v>
                </c:pt>
                <c:pt idx="62">
                  <c:v>1.32</c:v>
                </c:pt>
                <c:pt idx="63">
                  <c:v>1.32</c:v>
                </c:pt>
                <c:pt idx="64">
                  <c:v>1.32</c:v>
                </c:pt>
                <c:pt idx="65">
                  <c:v>1.32</c:v>
                </c:pt>
                <c:pt idx="66">
                  <c:v>1.32</c:v>
                </c:pt>
              </c:numCache>
            </c:numRef>
          </c:val>
          <c:smooth val="0"/>
          <c:extLst>
            <c:ext xmlns:c16="http://schemas.microsoft.com/office/drawing/2014/chart" uri="{C3380CC4-5D6E-409C-BE32-E72D297353CC}">
              <c16:uniqueId val="{00000002-CD2D-42AD-A1E4-7807420407FE}"/>
            </c:ext>
          </c:extLst>
        </c:ser>
        <c:dLbls>
          <c:showLegendKey val="0"/>
          <c:showVal val="0"/>
          <c:showCatName val="0"/>
          <c:showSerName val="0"/>
          <c:showPercent val="0"/>
          <c:showBubbleSize val="0"/>
        </c:dLbls>
        <c:marker val="1"/>
        <c:smooth val="0"/>
        <c:axId val="1889160496"/>
        <c:axId val="1889164912"/>
      </c:lineChart>
      <c:lineChart>
        <c:grouping val="standard"/>
        <c:varyColors val="0"/>
        <c:ser>
          <c:idx val="0"/>
          <c:order val="0"/>
          <c:tx>
            <c:strRef>
              <c:f>'GRAPH '!$B$3</c:f>
              <c:strCache>
                <c:ptCount val="1"/>
                <c:pt idx="0">
                  <c:v>Real Exchange Rates (1994 = 100%) </c:v>
                </c:pt>
              </c:strCache>
            </c:strRef>
          </c:tx>
          <c:marker>
            <c:symbol val="none"/>
          </c:marker>
          <c:cat>
            <c:strRef>
              <c:f>'GRAPH '!$A$4:$A$70</c:f>
              <c:strCache>
                <c:ptCount val="67"/>
                <c:pt idx="0">
                  <c:v>1994.06</c:v>
                </c:pt>
                <c:pt idx="1">
                  <c:v>1994.07</c:v>
                </c:pt>
                <c:pt idx="2">
                  <c:v>1994.08</c:v>
                </c:pt>
                <c:pt idx="3">
                  <c:v>1994.09</c:v>
                </c:pt>
                <c:pt idx="4">
                  <c:v>1994.10</c:v>
                </c:pt>
                <c:pt idx="5">
                  <c:v>1994.11</c:v>
                </c:pt>
                <c:pt idx="6">
                  <c:v>1994.12</c:v>
                </c:pt>
                <c:pt idx="7">
                  <c:v>1995.01</c:v>
                </c:pt>
                <c:pt idx="8">
                  <c:v>1995.02</c:v>
                </c:pt>
                <c:pt idx="9">
                  <c:v>1995.03</c:v>
                </c:pt>
                <c:pt idx="10">
                  <c:v>1995.04</c:v>
                </c:pt>
                <c:pt idx="11">
                  <c:v>1995.05</c:v>
                </c:pt>
                <c:pt idx="12">
                  <c:v>1995.06</c:v>
                </c:pt>
                <c:pt idx="13">
                  <c:v>1995.07</c:v>
                </c:pt>
                <c:pt idx="14">
                  <c:v>1995.08</c:v>
                </c:pt>
                <c:pt idx="15">
                  <c:v>1995.09</c:v>
                </c:pt>
                <c:pt idx="16">
                  <c:v>1995.10</c:v>
                </c:pt>
                <c:pt idx="17">
                  <c:v>1995.11</c:v>
                </c:pt>
                <c:pt idx="18">
                  <c:v>1995.12</c:v>
                </c:pt>
                <c:pt idx="19">
                  <c:v>1996.01</c:v>
                </c:pt>
                <c:pt idx="20">
                  <c:v>1996.02</c:v>
                </c:pt>
                <c:pt idx="21">
                  <c:v>1996.03</c:v>
                </c:pt>
                <c:pt idx="22">
                  <c:v>1996.04</c:v>
                </c:pt>
                <c:pt idx="23">
                  <c:v>1996.05</c:v>
                </c:pt>
                <c:pt idx="24">
                  <c:v>1996.06</c:v>
                </c:pt>
                <c:pt idx="25">
                  <c:v>1996.07</c:v>
                </c:pt>
                <c:pt idx="26">
                  <c:v>1996.08</c:v>
                </c:pt>
                <c:pt idx="27">
                  <c:v>1996.09</c:v>
                </c:pt>
                <c:pt idx="28">
                  <c:v>1996.10</c:v>
                </c:pt>
                <c:pt idx="29">
                  <c:v>1996.11</c:v>
                </c:pt>
                <c:pt idx="30">
                  <c:v>1996.12</c:v>
                </c:pt>
                <c:pt idx="31">
                  <c:v>1997.01</c:v>
                </c:pt>
                <c:pt idx="32">
                  <c:v>1997.02</c:v>
                </c:pt>
                <c:pt idx="33">
                  <c:v>1997.03</c:v>
                </c:pt>
                <c:pt idx="34">
                  <c:v>1997.04</c:v>
                </c:pt>
                <c:pt idx="35">
                  <c:v>1997.05</c:v>
                </c:pt>
                <c:pt idx="36">
                  <c:v>1997.06</c:v>
                </c:pt>
                <c:pt idx="37">
                  <c:v>1997.07</c:v>
                </c:pt>
                <c:pt idx="38">
                  <c:v>1997.08</c:v>
                </c:pt>
                <c:pt idx="39">
                  <c:v>1997.09</c:v>
                </c:pt>
                <c:pt idx="40">
                  <c:v>1997.10</c:v>
                </c:pt>
                <c:pt idx="41">
                  <c:v>1997.11</c:v>
                </c:pt>
                <c:pt idx="42">
                  <c:v>1997.12</c:v>
                </c:pt>
                <c:pt idx="43">
                  <c:v>1998.01</c:v>
                </c:pt>
                <c:pt idx="44">
                  <c:v>1998.02</c:v>
                </c:pt>
                <c:pt idx="45">
                  <c:v>1998.03</c:v>
                </c:pt>
                <c:pt idx="46">
                  <c:v>1998.04</c:v>
                </c:pt>
                <c:pt idx="47">
                  <c:v>1998.05</c:v>
                </c:pt>
                <c:pt idx="48">
                  <c:v>1998.06</c:v>
                </c:pt>
                <c:pt idx="49">
                  <c:v>1998.07</c:v>
                </c:pt>
                <c:pt idx="50">
                  <c:v>1998.08</c:v>
                </c:pt>
                <c:pt idx="51">
                  <c:v>1998.09</c:v>
                </c:pt>
                <c:pt idx="52">
                  <c:v>1998.10</c:v>
                </c:pt>
                <c:pt idx="53">
                  <c:v>1998.11</c:v>
                </c:pt>
                <c:pt idx="54">
                  <c:v>1998.12</c:v>
                </c:pt>
                <c:pt idx="55">
                  <c:v>1999.01</c:v>
                </c:pt>
                <c:pt idx="56">
                  <c:v>1999.02</c:v>
                </c:pt>
                <c:pt idx="57">
                  <c:v>1999.03</c:v>
                </c:pt>
                <c:pt idx="58">
                  <c:v>1999.04</c:v>
                </c:pt>
                <c:pt idx="59">
                  <c:v>1999.05</c:v>
                </c:pt>
                <c:pt idx="60">
                  <c:v>1999.06</c:v>
                </c:pt>
                <c:pt idx="61">
                  <c:v>1999.07</c:v>
                </c:pt>
                <c:pt idx="62">
                  <c:v>1999.08</c:v>
                </c:pt>
                <c:pt idx="63">
                  <c:v>1999.09</c:v>
                </c:pt>
                <c:pt idx="64">
                  <c:v>1999.10</c:v>
                </c:pt>
                <c:pt idx="65">
                  <c:v>1999.11</c:v>
                </c:pt>
                <c:pt idx="66">
                  <c:v>1999.12</c:v>
                </c:pt>
              </c:strCache>
            </c:strRef>
          </c:cat>
          <c:val>
            <c:numRef>
              <c:f>'GRAPH '!$B$4:$B$70</c:f>
              <c:numCache>
                <c:formatCode>General</c:formatCode>
                <c:ptCount val="67"/>
                <c:pt idx="0">
                  <c:v>100</c:v>
                </c:pt>
                <c:pt idx="1">
                  <c:v>90.89</c:v>
                </c:pt>
                <c:pt idx="2">
                  <c:v>84.740000000000023</c:v>
                </c:pt>
                <c:pt idx="3">
                  <c:v>80.72</c:v>
                </c:pt>
                <c:pt idx="4">
                  <c:v>78.13</c:v>
                </c:pt>
                <c:pt idx="5">
                  <c:v>76.72</c:v>
                </c:pt>
                <c:pt idx="6">
                  <c:v>76.98</c:v>
                </c:pt>
                <c:pt idx="7">
                  <c:v>76.5</c:v>
                </c:pt>
                <c:pt idx="8">
                  <c:v>76.06</c:v>
                </c:pt>
                <c:pt idx="9">
                  <c:v>81</c:v>
                </c:pt>
                <c:pt idx="10">
                  <c:v>83.16</c:v>
                </c:pt>
                <c:pt idx="11">
                  <c:v>83.84</c:v>
                </c:pt>
                <c:pt idx="12">
                  <c:v>84.669999999999973</c:v>
                </c:pt>
                <c:pt idx="13">
                  <c:v>84.57</c:v>
                </c:pt>
                <c:pt idx="14">
                  <c:v>82.85</c:v>
                </c:pt>
                <c:pt idx="15">
                  <c:v>85.08</c:v>
                </c:pt>
                <c:pt idx="16">
                  <c:v>86.56</c:v>
                </c:pt>
                <c:pt idx="17">
                  <c:v>85.31</c:v>
                </c:pt>
                <c:pt idx="18">
                  <c:v>86.08</c:v>
                </c:pt>
                <c:pt idx="19">
                  <c:v>85.19</c:v>
                </c:pt>
                <c:pt idx="20">
                  <c:v>85.38</c:v>
                </c:pt>
                <c:pt idx="21">
                  <c:v>85.940000000000026</c:v>
                </c:pt>
                <c:pt idx="22">
                  <c:v>86.07</c:v>
                </c:pt>
                <c:pt idx="23">
                  <c:v>85.27</c:v>
                </c:pt>
                <c:pt idx="24">
                  <c:v>84.72</c:v>
                </c:pt>
                <c:pt idx="25">
                  <c:v>84.37</c:v>
                </c:pt>
                <c:pt idx="26">
                  <c:v>85.410000000000025</c:v>
                </c:pt>
                <c:pt idx="27">
                  <c:v>85.440000000000026</c:v>
                </c:pt>
                <c:pt idx="28">
                  <c:v>85.210000000000022</c:v>
                </c:pt>
                <c:pt idx="29">
                  <c:v>85.77</c:v>
                </c:pt>
                <c:pt idx="30">
                  <c:v>84.77</c:v>
                </c:pt>
                <c:pt idx="31">
                  <c:v>82.76</c:v>
                </c:pt>
                <c:pt idx="32">
                  <c:v>81.260000000000005</c:v>
                </c:pt>
                <c:pt idx="33">
                  <c:v>79.8</c:v>
                </c:pt>
                <c:pt idx="34">
                  <c:v>79.56</c:v>
                </c:pt>
                <c:pt idx="35">
                  <c:v>80.709999999999994</c:v>
                </c:pt>
                <c:pt idx="36">
                  <c:v>80.8</c:v>
                </c:pt>
                <c:pt idx="37">
                  <c:v>80.39</c:v>
                </c:pt>
                <c:pt idx="38">
                  <c:v>80.319999999999993</c:v>
                </c:pt>
                <c:pt idx="39">
                  <c:v>80.77</c:v>
                </c:pt>
                <c:pt idx="40">
                  <c:v>81.410000000000025</c:v>
                </c:pt>
                <c:pt idx="41">
                  <c:v>80.910000000000025</c:v>
                </c:pt>
                <c:pt idx="42">
                  <c:v>78.88</c:v>
                </c:pt>
                <c:pt idx="43">
                  <c:v>77.33</c:v>
                </c:pt>
                <c:pt idx="44">
                  <c:v>78.150000000000006</c:v>
                </c:pt>
                <c:pt idx="45">
                  <c:v>78.430000000000007</c:v>
                </c:pt>
                <c:pt idx="46">
                  <c:v>79.38</c:v>
                </c:pt>
                <c:pt idx="47">
                  <c:v>80.040000000000006</c:v>
                </c:pt>
                <c:pt idx="48">
                  <c:v>79.72</c:v>
                </c:pt>
                <c:pt idx="49">
                  <c:v>80.7</c:v>
                </c:pt>
                <c:pt idx="50">
                  <c:v>80.940000000000026</c:v>
                </c:pt>
                <c:pt idx="51">
                  <c:v>82.83</c:v>
                </c:pt>
                <c:pt idx="52">
                  <c:v>85.19</c:v>
                </c:pt>
                <c:pt idx="53">
                  <c:v>84.82</c:v>
                </c:pt>
                <c:pt idx="54">
                  <c:v>84.26</c:v>
                </c:pt>
                <c:pt idx="55">
                  <c:v>103.26</c:v>
                </c:pt>
                <c:pt idx="56">
                  <c:v>120.66</c:v>
                </c:pt>
                <c:pt idx="57">
                  <c:v>114.99</c:v>
                </c:pt>
                <c:pt idx="58">
                  <c:v>103.06</c:v>
                </c:pt>
                <c:pt idx="59">
                  <c:v>102.88</c:v>
                </c:pt>
                <c:pt idx="60">
                  <c:v>105.5</c:v>
                </c:pt>
                <c:pt idx="61">
                  <c:v>105.45</c:v>
                </c:pt>
                <c:pt idx="62">
                  <c:v>108.88</c:v>
                </c:pt>
                <c:pt idx="63">
                  <c:v>107.27</c:v>
                </c:pt>
                <c:pt idx="64">
                  <c:v>108.8</c:v>
                </c:pt>
                <c:pt idx="65">
                  <c:v>101.5</c:v>
                </c:pt>
                <c:pt idx="66">
                  <c:v>94.6</c:v>
                </c:pt>
              </c:numCache>
            </c:numRef>
          </c:val>
          <c:smooth val="0"/>
          <c:extLst>
            <c:ext xmlns:c16="http://schemas.microsoft.com/office/drawing/2014/chart" uri="{C3380CC4-5D6E-409C-BE32-E72D297353CC}">
              <c16:uniqueId val="{00000003-CD2D-42AD-A1E4-7807420407FE}"/>
            </c:ext>
          </c:extLst>
        </c:ser>
        <c:dLbls>
          <c:showLegendKey val="0"/>
          <c:showVal val="0"/>
          <c:showCatName val="0"/>
          <c:showSerName val="0"/>
          <c:showPercent val="0"/>
          <c:showBubbleSize val="0"/>
        </c:dLbls>
        <c:marker val="1"/>
        <c:smooth val="0"/>
        <c:axId val="1889172496"/>
        <c:axId val="1889176528"/>
      </c:lineChart>
      <c:catAx>
        <c:axId val="1889160496"/>
        <c:scaling>
          <c:orientation val="minMax"/>
        </c:scaling>
        <c:delete val="0"/>
        <c:axPos val="b"/>
        <c:numFmt formatCode="General" sourceLinked="1"/>
        <c:majorTickMark val="out"/>
        <c:minorTickMark val="none"/>
        <c:tickLblPos val="nextTo"/>
        <c:crossAx val="1889164912"/>
        <c:crosses val="autoZero"/>
        <c:auto val="1"/>
        <c:lblAlgn val="ctr"/>
        <c:lblOffset val="100"/>
        <c:noMultiLvlLbl val="0"/>
      </c:catAx>
      <c:valAx>
        <c:axId val="1889164912"/>
        <c:scaling>
          <c:orientation val="minMax"/>
        </c:scaling>
        <c:delete val="0"/>
        <c:axPos val="l"/>
        <c:title>
          <c:tx>
            <c:rich>
              <a:bodyPr rot="-5400000" vert="horz"/>
              <a:lstStyle/>
              <a:p>
                <a:pPr>
                  <a:defRPr/>
                </a:pPr>
                <a:r>
                  <a:rPr lang="de-DE" sz="1200" b="0"/>
                  <a:t>Nominal</a:t>
                </a:r>
                <a:r>
                  <a:rPr lang="de-DE" sz="1200" b="0" baseline="0"/>
                  <a:t> Exchange Rate </a:t>
                </a:r>
                <a:r>
                  <a:rPr lang="de-DE" sz="1200" b="0"/>
                  <a:t>R$/</a:t>
                </a:r>
                <a:r>
                  <a:rPr lang="de-DE" sz="1200" b="0" baseline="0"/>
                  <a:t> US $ </a:t>
                </a:r>
                <a:endParaRPr lang="de-DE" sz="1200" b="0"/>
              </a:p>
            </c:rich>
          </c:tx>
          <c:layout/>
          <c:overlay val="0"/>
        </c:title>
        <c:numFmt formatCode="#,##0.0000" sourceLinked="1"/>
        <c:majorTickMark val="out"/>
        <c:minorTickMark val="none"/>
        <c:tickLblPos val="nextTo"/>
        <c:crossAx val="1889160496"/>
        <c:crosses val="autoZero"/>
        <c:crossBetween val="between"/>
      </c:valAx>
      <c:catAx>
        <c:axId val="1889172496"/>
        <c:scaling>
          <c:orientation val="minMax"/>
        </c:scaling>
        <c:delete val="1"/>
        <c:axPos val="b"/>
        <c:numFmt formatCode="General" sourceLinked="1"/>
        <c:majorTickMark val="out"/>
        <c:minorTickMark val="none"/>
        <c:tickLblPos val="none"/>
        <c:crossAx val="1889176528"/>
        <c:crosses val="autoZero"/>
        <c:auto val="1"/>
        <c:lblAlgn val="ctr"/>
        <c:lblOffset val="100"/>
        <c:noMultiLvlLbl val="0"/>
      </c:catAx>
      <c:valAx>
        <c:axId val="1889176528"/>
        <c:scaling>
          <c:orientation val="minMax"/>
        </c:scaling>
        <c:delete val="0"/>
        <c:axPos val="r"/>
        <c:title>
          <c:tx>
            <c:rich>
              <a:bodyPr rot="-5400000" vert="horz"/>
              <a:lstStyle/>
              <a:p>
                <a:pPr>
                  <a:defRPr/>
                </a:pPr>
                <a:r>
                  <a:rPr lang="de-DE" sz="1200" b="0" baseline="0"/>
                  <a:t>Real Exchange Rate (1994 = 100)</a:t>
                </a:r>
                <a:endParaRPr lang="de-DE" sz="1200" b="0"/>
              </a:p>
            </c:rich>
          </c:tx>
          <c:layout/>
          <c:overlay val="0"/>
        </c:title>
        <c:numFmt formatCode="General" sourceLinked="1"/>
        <c:majorTickMark val="out"/>
        <c:minorTickMark val="none"/>
        <c:tickLblPos val="nextTo"/>
        <c:crossAx val="1889172496"/>
        <c:crosses val="max"/>
        <c:crossBetween val="between"/>
      </c:valAx>
    </c:plotArea>
    <c:legend>
      <c:legendPos val="b"/>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1678129298487"/>
          <c:y val="8.83841697818077E-2"/>
          <c:w val="0.75103176296930296"/>
          <c:h val="0.68182112429709296"/>
        </c:manualLayout>
      </c:layout>
      <c:barChart>
        <c:barDir val="col"/>
        <c:grouping val="clustered"/>
        <c:varyColors val="0"/>
        <c:ser>
          <c:idx val="1"/>
          <c:order val="0"/>
          <c:tx>
            <c:strRef>
              <c:f>'[FX reserves and Selic.xlsx]Tabelle16'!$B$1</c:f>
              <c:strCache>
                <c:ptCount val="1"/>
                <c:pt idx="0">
                  <c:v>FX reserves</c:v>
                </c:pt>
              </c:strCache>
            </c:strRef>
          </c:tx>
          <c:spPr>
            <a:solidFill>
              <a:srgbClr val="000000"/>
            </a:solidFill>
            <a:ln w="12700">
              <a:solidFill>
                <a:srgbClr val="000000"/>
              </a:solidFill>
              <a:prstDash val="solid"/>
            </a:ln>
          </c:spPr>
          <c:invertIfNegative val="0"/>
          <c:cat>
            <c:numRef>
              <c:f>'[FX reserves and Selic.xlsx]Tabelle16'!$A$2:$A$68</c:f>
              <c:numCache>
                <c:formatCode>General</c:formatCode>
                <c:ptCount val="67"/>
                <c:pt idx="0">
                  <c:v>94</c:v>
                </c:pt>
                <c:pt idx="12">
                  <c:v>95</c:v>
                </c:pt>
                <c:pt idx="24">
                  <c:v>96</c:v>
                </c:pt>
                <c:pt idx="36">
                  <c:v>97</c:v>
                </c:pt>
                <c:pt idx="48">
                  <c:v>98</c:v>
                </c:pt>
                <c:pt idx="60">
                  <c:v>99</c:v>
                </c:pt>
              </c:numCache>
            </c:numRef>
          </c:cat>
          <c:val>
            <c:numRef>
              <c:f>'[FX reserves and Selic.xlsx]Tabelle16'!$B$2:$B$68</c:f>
              <c:numCache>
                <c:formatCode>General</c:formatCode>
                <c:ptCount val="67"/>
                <c:pt idx="0">
                  <c:v>29138</c:v>
                </c:pt>
                <c:pt idx="1">
                  <c:v>30525</c:v>
                </c:pt>
                <c:pt idx="2">
                  <c:v>32295</c:v>
                </c:pt>
                <c:pt idx="3">
                  <c:v>35082</c:v>
                </c:pt>
                <c:pt idx="4">
                  <c:v>38270</c:v>
                </c:pt>
                <c:pt idx="5">
                  <c:v>40131</c:v>
                </c:pt>
                <c:pt idx="6">
                  <c:v>40317</c:v>
                </c:pt>
                <c:pt idx="7">
                  <c:v>40204</c:v>
                </c:pt>
                <c:pt idx="8">
                  <c:v>40873</c:v>
                </c:pt>
                <c:pt idx="9">
                  <c:v>40441</c:v>
                </c:pt>
                <c:pt idx="10">
                  <c:v>39531</c:v>
                </c:pt>
                <c:pt idx="11">
                  <c:v>36471</c:v>
                </c:pt>
                <c:pt idx="12">
                  <c:v>35929</c:v>
                </c:pt>
                <c:pt idx="13">
                  <c:v>35750</c:v>
                </c:pt>
                <c:pt idx="14">
                  <c:v>31530</c:v>
                </c:pt>
                <c:pt idx="15">
                  <c:v>29918</c:v>
                </c:pt>
                <c:pt idx="16">
                  <c:v>31664</c:v>
                </c:pt>
                <c:pt idx="17">
                  <c:v>31429</c:v>
                </c:pt>
                <c:pt idx="18">
                  <c:v>39780</c:v>
                </c:pt>
                <c:pt idx="19">
                  <c:v>45776</c:v>
                </c:pt>
                <c:pt idx="20">
                  <c:v>46614</c:v>
                </c:pt>
                <c:pt idx="21">
                  <c:v>48231</c:v>
                </c:pt>
                <c:pt idx="22">
                  <c:v>49797</c:v>
                </c:pt>
                <c:pt idx="23">
                  <c:v>50449</c:v>
                </c:pt>
                <c:pt idx="24">
                  <c:v>52176</c:v>
                </c:pt>
                <c:pt idx="25">
                  <c:v>54411</c:v>
                </c:pt>
                <c:pt idx="26">
                  <c:v>54331</c:v>
                </c:pt>
                <c:pt idx="27">
                  <c:v>55429</c:v>
                </c:pt>
                <c:pt idx="28">
                  <c:v>58058</c:v>
                </c:pt>
                <c:pt idx="29">
                  <c:v>58639</c:v>
                </c:pt>
                <c:pt idx="30">
                  <c:v>58098</c:v>
                </c:pt>
                <c:pt idx="31">
                  <c:v>58287</c:v>
                </c:pt>
                <c:pt idx="32">
                  <c:v>57381</c:v>
                </c:pt>
                <c:pt idx="33">
                  <c:v>57325</c:v>
                </c:pt>
                <c:pt idx="34">
                  <c:v>59233</c:v>
                </c:pt>
                <c:pt idx="35">
                  <c:v>59039</c:v>
                </c:pt>
                <c:pt idx="36">
                  <c:v>57806</c:v>
                </c:pt>
                <c:pt idx="37">
                  <c:v>58524</c:v>
                </c:pt>
                <c:pt idx="38">
                  <c:v>58120</c:v>
                </c:pt>
                <c:pt idx="39">
                  <c:v>55288</c:v>
                </c:pt>
                <c:pt idx="40">
                  <c:v>58459</c:v>
                </c:pt>
                <c:pt idx="41">
                  <c:v>56795</c:v>
                </c:pt>
                <c:pt idx="42">
                  <c:v>59493</c:v>
                </c:pt>
                <c:pt idx="43">
                  <c:v>62266</c:v>
                </c:pt>
                <c:pt idx="44">
                  <c:v>61161</c:v>
                </c:pt>
                <c:pt idx="45">
                  <c:v>52852</c:v>
                </c:pt>
                <c:pt idx="46">
                  <c:v>51147</c:v>
                </c:pt>
                <c:pt idx="47">
                  <c:v>51359</c:v>
                </c:pt>
                <c:pt idx="48">
                  <c:v>52479</c:v>
                </c:pt>
                <c:pt idx="49">
                  <c:v>57417</c:v>
                </c:pt>
                <c:pt idx="50">
                  <c:v>67772</c:v>
                </c:pt>
                <c:pt idx="51">
                  <c:v>76849</c:v>
                </c:pt>
                <c:pt idx="52">
                  <c:v>71951</c:v>
                </c:pt>
                <c:pt idx="53">
                  <c:v>70060</c:v>
                </c:pt>
                <c:pt idx="54">
                  <c:v>69368</c:v>
                </c:pt>
                <c:pt idx="55">
                  <c:v>66480</c:v>
                </c:pt>
                <c:pt idx="56">
                  <c:v>44986</c:v>
                </c:pt>
                <c:pt idx="57">
                  <c:v>41562</c:v>
                </c:pt>
                <c:pt idx="58">
                  <c:v>40300</c:v>
                </c:pt>
                <c:pt idx="59">
                  <c:v>43600</c:v>
                </c:pt>
                <c:pt idx="60">
                  <c:v>35200</c:v>
                </c:pt>
                <c:pt idx="61">
                  <c:v>34600</c:v>
                </c:pt>
                <c:pt idx="62">
                  <c:v>32900</c:v>
                </c:pt>
                <c:pt idx="63">
                  <c:v>43400</c:v>
                </c:pt>
                <c:pt idx="64">
                  <c:v>43400</c:v>
                </c:pt>
                <c:pt idx="65">
                  <c:v>40400</c:v>
                </c:pt>
                <c:pt idx="66">
                  <c:v>41300</c:v>
                </c:pt>
              </c:numCache>
            </c:numRef>
          </c:val>
          <c:extLst>
            <c:ext xmlns:c16="http://schemas.microsoft.com/office/drawing/2014/chart" uri="{C3380CC4-5D6E-409C-BE32-E72D297353CC}">
              <c16:uniqueId val="{00000000-4080-4C6C-858A-2FD1CE871A75}"/>
            </c:ext>
          </c:extLst>
        </c:ser>
        <c:dLbls>
          <c:showLegendKey val="0"/>
          <c:showVal val="0"/>
          <c:showCatName val="0"/>
          <c:showSerName val="0"/>
          <c:showPercent val="0"/>
          <c:showBubbleSize val="0"/>
        </c:dLbls>
        <c:gapWidth val="150"/>
        <c:axId val="1889268304"/>
        <c:axId val="1889272432"/>
      </c:barChart>
      <c:lineChart>
        <c:grouping val="standard"/>
        <c:varyColors val="0"/>
        <c:ser>
          <c:idx val="0"/>
          <c:order val="1"/>
          <c:tx>
            <c:strRef>
              <c:f>'[FX reserves and Selic.xlsx]Tabelle16'!$C$1</c:f>
              <c:strCache>
                <c:ptCount val="1"/>
                <c:pt idx="0">
                  <c:v>Policy rate </c:v>
                </c:pt>
              </c:strCache>
            </c:strRef>
          </c:tx>
          <c:spPr>
            <a:ln w="12700">
              <a:solidFill>
                <a:srgbClr val="000080"/>
              </a:solidFill>
              <a:prstDash val="solid"/>
            </a:ln>
          </c:spPr>
          <c:marker>
            <c:symbol val="diamond"/>
            <c:size val="5"/>
            <c:spPr>
              <a:solidFill>
                <a:srgbClr val="000080"/>
              </a:solidFill>
              <a:ln>
                <a:solidFill>
                  <a:srgbClr val="000000"/>
                </a:solidFill>
                <a:prstDash val="solid"/>
              </a:ln>
            </c:spPr>
          </c:marker>
          <c:cat>
            <c:numRef>
              <c:f>'[FX reserves and Selic.xlsx]Tabelle16'!$A$2:$A$68</c:f>
              <c:numCache>
                <c:formatCode>General</c:formatCode>
                <c:ptCount val="67"/>
                <c:pt idx="0">
                  <c:v>94</c:v>
                </c:pt>
                <c:pt idx="12">
                  <c:v>95</c:v>
                </c:pt>
                <c:pt idx="24">
                  <c:v>96</c:v>
                </c:pt>
                <c:pt idx="36">
                  <c:v>97</c:v>
                </c:pt>
                <c:pt idx="48">
                  <c:v>98</c:v>
                </c:pt>
                <c:pt idx="60">
                  <c:v>99</c:v>
                </c:pt>
              </c:numCache>
            </c:numRef>
          </c:cat>
          <c:val>
            <c:numRef>
              <c:f>'[FX reserves and Selic.xlsx]Tabelle16'!$C$2:$C$68</c:f>
              <c:numCache>
                <c:formatCode>General</c:formatCode>
                <c:ptCount val="67"/>
                <c:pt idx="7">
                  <c:v>63.28</c:v>
                </c:pt>
                <c:pt idx="8">
                  <c:v>57.06</c:v>
                </c:pt>
                <c:pt idx="9">
                  <c:v>53.260000000000012</c:v>
                </c:pt>
                <c:pt idx="10">
                  <c:v>61.45</c:v>
                </c:pt>
                <c:pt idx="11">
                  <c:v>56.4</c:v>
                </c:pt>
                <c:pt idx="12">
                  <c:v>49.92</c:v>
                </c:pt>
                <c:pt idx="13">
                  <c:v>46.83</c:v>
                </c:pt>
                <c:pt idx="14">
                  <c:v>65.010000000000005</c:v>
                </c:pt>
                <c:pt idx="15">
                  <c:v>64.88</c:v>
                </c:pt>
                <c:pt idx="16">
                  <c:v>64.739999999999995</c:v>
                </c:pt>
                <c:pt idx="17">
                  <c:v>60.84</c:v>
                </c:pt>
                <c:pt idx="18">
                  <c:v>60.53</c:v>
                </c:pt>
                <c:pt idx="19">
                  <c:v>57.17</c:v>
                </c:pt>
                <c:pt idx="20">
                  <c:v>48.06</c:v>
                </c:pt>
                <c:pt idx="21">
                  <c:v>44.11</c:v>
                </c:pt>
                <c:pt idx="22">
                  <c:v>40.520000000000003</c:v>
                </c:pt>
                <c:pt idx="23">
                  <c:v>38.92</c:v>
                </c:pt>
                <c:pt idx="24">
                  <c:v>35.700000000000003</c:v>
                </c:pt>
                <c:pt idx="25">
                  <c:v>32.17</c:v>
                </c:pt>
                <c:pt idx="26">
                  <c:v>30.16</c:v>
                </c:pt>
                <c:pt idx="27">
                  <c:v>27.84</c:v>
                </c:pt>
                <c:pt idx="28">
                  <c:v>27.01</c:v>
                </c:pt>
                <c:pt idx="29">
                  <c:v>26.49</c:v>
                </c:pt>
                <c:pt idx="30">
                  <c:v>25.759999999999991</c:v>
                </c:pt>
                <c:pt idx="31">
                  <c:v>26.35</c:v>
                </c:pt>
                <c:pt idx="32">
                  <c:v>25.4</c:v>
                </c:pt>
                <c:pt idx="33">
                  <c:v>24.74</c:v>
                </c:pt>
                <c:pt idx="34">
                  <c:v>23.93</c:v>
                </c:pt>
                <c:pt idx="35">
                  <c:v>23.939999999999991</c:v>
                </c:pt>
                <c:pt idx="36">
                  <c:v>22.88</c:v>
                </c:pt>
                <c:pt idx="37">
                  <c:v>22.02</c:v>
                </c:pt>
                <c:pt idx="38">
                  <c:v>21.58</c:v>
                </c:pt>
                <c:pt idx="39">
                  <c:v>21.84</c:v>
                </c:pt>
                <c:pt idx="40">
                  <c:v>20.759999999999991</c:v>
                </c:pt>
                <c:pt idx="41">
                  <c:v>21.08</c:v>
                </c:pt>
                <c:pt idx="42">
                  <c:v>21.04</c:v>
                </c:pt>
                <c:pt idx="43">
                  <c:v>20.77999999999999</c:v>
                </c:pt>
                <c:pt idx="44">
                  <c:v>20.84</c:v>
                </c:pt>
                <c:pt idx="45">
                  <c:v>22.02</c:v>
                </c:pt>
                <c:pt idx="46">
                  <c:v>43.3</c:v>
                </c:pt>
                <c:pt idx="47">
                  <c:v>42.04</c:v>
                </c:pt>
                <c:pt idx="48">
                  <c:v>37.190000000000012</c:v>
                </c:pt>
                <c:pt idx="49">
                  <c:v>34.32</c:v>
                </c:pt>
                <c:pt idx="50">
                  <c:v>28.32</c:v>
                </c:pt>
                <c:pt idx="51">
                  <c:v>25.16</c:v>
                </c:pt>
                <c:pt idx="52">
                  <c:v>22.6</c:v>
                </c:pt>
                <c:pt idx="53">
                  <c:v>21.02</c:v>
                </c:pt>
                <c:pt idx="54">
                  <c:v>20.329999999999991</c:v>
                </c:pt>
                <c:pt idx="55">
                  <c:v>19.23</c:v>
                </c:pt>
                <c:pt idx="56">
                  <c:v>34.290000000000013</c:v>
                </c:pt>
                <c:pt idx="57">
                  <c:v>41.58</c:v>
                </c:pt>
                <c:pt idx="58">
                  <c:v>35.5</c:v>
                </c:pt>
                <c:pt idx="59">
                  <c:v>29.3</c:v>
                </c:pt>
                <c:pt idx="60">
                  <c:v>29.9</c:v>
                </c:pt>
                <c:pt idx="61">
                  <c:v>38.799999999999997</c:v>
                </c:pt>
                <c:pt idx="62">
                  <c:v>42</c:v>
                </c:pt>
                <c:pt idx="63">
                  <c:v>32</c:v>
                </c:pt>
                <c:pt idx="64">
                  <c:v>23.5</c:v>
                </c:pt>
                <c:pt idx="65">
                  <c:v>21</c:v>
                </c:pt>
                <c:pt idx="66">
                  <c:v>19.5</c:v>
                </c:pt>
              </c:numCache>
            </c:numRef>
          </c:val>
          <c:smooth val="0"/>
          <c:extLst>
            <c:ext xmlns:c16="http://schemas.microsoft.com/office/drawing/2014/chart" uri="{C3380CC4-5D6E-409C-BE32-E72D297353CC}">
              <c16:uniqueId val="{00000001-4080-4C6C-858A-2FD1CE871A75}"/>
            </c:ext>
          </c:extLst>
        </c:ser>
        <c:dLbls>
          <c:showLegendKey val="0"/>
          <c:showVal val="0"/>
          <c:showCatName val="0"/>
          <c:showSerName val="0"/>
          <c:showPercent val="0"/>
          <c:showBubbleSize val="0"/>
        </c:dLbls>
        <c:marker val="1"/>
        <c:smooth val="0"/>
        <c:axId val="1889280544"/>
        <c:axId val="1889284368"/>
      </c:lineChart>
      <c:catAx>
        <c:axId val="1889268304"/>
        <c:scaling>
          <c:orientation val="minMax"/>
        </c:scaling>
        <c:delete val="0"/>
        <c:axPos val="b"/>
        <c:numFmt formatCode="General" sourceLinked="1"/>
        <c:majorTickMark val="cross"/>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de-DE"/>
          </a:p>
        </c:txPr>
        <c:crossAx val="1889272432"/>
        <c:crosses val="autoZero"/>
        <c:auto val="0"/>
        <c:lblAlgn val="ctr"/>
        <c:lblOffset val="100"/>
        <c:tickLblSkip val="4"/>
        <c:tickMarkSkip val="1"/>
        <c:noMultiLvlLbl val="0"/>
      </c:catAx>
      <c:valAx>
        <c:axId val="1889272432"/>
        <c:scaling>
          <c:orientation val="minMax"/>
        </c:scaling>
        <c:delete val="0"/>
        <c:axPos val="l"/>
        <c:title>
          <c:tx>
            <c:rich>
              <a:bodyPr/>
              <a:lstStyle/>
              <a:p>
                <a:pPr>
                  <a:defRPr sz="1000" b="0" i="0" u="none" strike="noStrike" baseline="0">
                    <a:solidFill>
                      <a:srgbClr val="000000"/>
                    </a:solidFill>
                    <a:latin typeface="Arial"/>
                    <a:ea typeface="Arial"/>
                    <a:cs typeface="Arial"/>
                  </a:defRPr>
                </a:pPr>
                <a:r>
                  <a:rPr lang="de-DE"/>
                  <a:t>US$ Mio</a:t>
                </a:r>
              </a:p>
            </c:rich>
          </c:tx>
          <c:layout>
            <c:manualLayout>
              <c:xMode val="edge"/>
              <c:yMode val="edge"/>
              <c:x val="2.6134804938492202E-2"/>
              <c:y val="0.33080950845526103"/>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de-DE"/>
          </a:p>
        </c:txPr>
        <c:crossAx val="1889268304"/>
        <c:crosses val="autoZero"/>
        <c:crossBetween val="between"/>
      </c:valAx>
      <c:catAx>
        <c:axId val="1889280544"/>
        <c:scaling>
          <c:orientation val="minMax"/>
        </c:scaling>
        <c:delete val="1"/>
        <c:axPos val="b"/>
        <c:numFmt formatCode="General" sourceLinked="1"/>
        <c:majorTickMark val="out"/>
        <c:minorTickMark val="none"/>
        <c:tickLblPos val="none"/>
        <c:crossAx val="1889284368"/>
        <c:crosses val="autoZero"/>
        <c:auto val="0"/>
        <c:lblAlgn val="ctr"/>
        <c:lblOffset val="100"/>
        <c:noMultiLvlLbl val="0"/>
      </c:catAx>
      <c:valAx>
        <c:axId val="1889284368"/>
        <c:scaling>
          <c:orientation val="minMax"/>
        </c:scaling>
        <c:delete val="0"/>
        <c:axPos val="r"/>
        <c:title>
          <c:tx>
            <c:rich>
              <a:bodyPr/>
              <a:lstStyle/>
              <a:p>
                <a:pPr>
                  <a:defRPr sz="1000" b="0" i="0" u="none" strike="noStrike" baseline="0">
                    <a:solidFill>
                      <a:srgbClr val="000000"/>
                    </a:solidFill>
                    <a:latin typeface="Arial"/>
                    <a:ea typeface="Arial"/>
                    <a:cs typeface="Arial"/>
                  </a:defRPr>
                </a:pPr>
                <a:r>
                  <a:rPr lang="de-DE"/>
                  <a:t>% p.a.</a:t>
                </a:r>
              </a:p>
            </c:rich>
          </c:tx>
          <c:layout>
            <c:manualLayout>
              <c:xMode val="edge"/>
              <c:yMode val="edge"/>
              <c:x val="0.93397539753875702"/>
              <c:y val="0.348486352418513"/>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de-DE"/>
          </a:p>
        </c:txPr>
        <c:crossAx val="1889280544"/>
        <c:crosses val="max"/>
        <c:crossBetween val="between"/>
      </c:valAx>
      <c:spPr>
        <a:solidFill>
          <a:srgbClr val="FFFFFF"/>
        </a:solidFill>
        <a:ln w="12700">
          <a:solidFill>
            <a:srgbClr val="FFFFFF"/>
          </a:solidFill>
          <a:prstDash val="solid"/>
        </a:ln>
      </c:spPr>
    </c:plotArea>
    <c:legend>
      <c:legendPos val="b"/>
      <c:layout>
        <c:manualLayout>
          <c:xMode val="edge"/>
          <c:yMode val="edge"/>
          <c:x val="0.29436043457038502"/>
          <c:y val="0.90656956897278795"/>
          <c:w val="0.44566720000376098"/>
          <c:h val="7.0707375853032106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de-DE"/>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de-DE"/>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0.79005</cdr:x>
      <cdr:y>0.91058</cdr:y>
    </cdr:from>
    <cdr:to>
      <cdr:x>1</cdr:x>
      <cdr:y>1</cdr:y>
    </cdr:to>
    <cdr:sp macro="" textlink="">
      <cdr:nvSpPr>
        <cdr:cNvPr id="2" name="Textfeld 1"/>
        <cdr:cNvSpPr txBox="1"/>
      </cdr:nvSpPr>
      <cdr:spPr>
        <a:xfrm xmlns:a="http://schemas.openxmlformats.org/drawingml/2006/main">
          <a:off x="7562850" y="4752976"/>
          <a:ext cx="2009775" cy="4667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de-DE" sz="1000"/>
        </a:p>
      </cdr:txBody>
    </cdr:sp>
  </cdr:relSizeAnchor>
</c:userShapes>
</file>

<file path=word/drawings/drawing2.xml><?xml version="1.0" encoding="utf-8"?>
<c:userShapes xmlns:c="http://schemas.openxmlformats.org/drawingml/2006/chart">
  <cdr:relSizeAnchor xmlns:cdr="http://schemas.openxmlformats.org/drawingml/2006/chartDrawing">
    <cdr:from>
      <cdr:x>0.2132</cdr:x>
      <cdr:y>0.15909</cdr:y>
    </cdr:from>
    <cdr:to>
      <cdr:x>0.22283</cdr:x>
      <cdr:y>0.28788</cdr:y>
    </cdr:to>
    <cdr:cxnSp macro="">
      <cdr:nvCxnSpPr>
        <cdr:cNvPr id="3" name="Gerade Verbindung mit Pfeil 2"/>
        <cdr:cNvCxnSpPr/>
      </cdr:nvCxnSpPr>
      <cdr:spPr bwMode="auto">
        <a:xfrm xmlns:a="http://schemas.openxmlformats.org/drawingml/2006/main" flipV="1">
          <a:off x="1181100" y="480060"/>
          <a:ext cx="53340" cy="388620"/>
        </a:xfrm>
        <a:prstGeom xmlns:a="http://schemas.openxmlformats.org/drawingml/2006/main" prst="straightConnector1">
          <a:avLst/>
        </a:prstGeom>
        <a:ln xmlns:a="http://schemas.openxmlformats.org/drawingml/2006/main" w="12700">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0.30536</cdr:x>
      <cdr:y>0.13384</cdr:y>
    </cdr:from>
    <cdr:to>
      <cdr:x>0.30536</cdr:x>
      <cdr:y>0.51768</cdr:y>
    </cdr:to>
    <cdr:cxnSp macro="">
      <cdr:nvCxnSpPr>
        <cdr:cNvPr id="7" name="Gerade Verbindung mit Pfeil 6"/>
        <cdr:cNvCxnSpPr/>
      </cdr:nvCxnSpPr>
      <cdr:spPr bwMode="auto">
        <a:xfrm xmlns:a="http://schemas.openxmlformats.org/drawingml/2006/main">
          <a:off x="1691640" y="403860"/>
          <a:ext cx="0" cy="1158240"/>
        </a:xfrm>
        <a:prstGeom xmlns:a="http://schemas.openxmlformats.org/drawingml/2006/main" prst="straightConnector1">
          <a:avLst/>
        </a:prstGeom>
        <a:solidFill xmlns:a="http://schemas.openxmlformats.org/drawingml/2006/main">
          <a:srgbClr val="FFFFFF"/>
        </a:solidFill>
        <a:ln xmlns:a="http://schemas.openxmlformats.org/drawingml/2006/main" w="12700" cap="flat" cmpd="sng" algn="ctr">
          <a:solidFill>
            <a:srgbClr val="000000"/>
          </a:solidFill>
          <a:prstDash val="solid"/>
          <a:round/>
          <a:headEnd type="none" w="med" len="med"/>
          <a:tailEnd type="arrow"/>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0.66437</cdr:x>
      <cdr:y>0.04545</cdr:y>
    </cdr:from>
    <cdr:to>
      <cdr:x>0.66437</cdr:x>
      <cdr:y>0.32071</cdr:y>
    </cdr:to>
    <cdr:cxnSp macro="">
      <cdr:nvCxnSpPr>
        <cdr:cNvPr id="9" name="Gerade Verbindung mit Pfeil 8"/>
        <cdr:cNvCxnSpPr/>
      </cdr:nvCxnSpPr>
      <cdr:spPr bwMode="auto">
        <a:xfrm xmlns:a="http://schemas.openxmlformats.org/drawingml/2006/main">
          <a:off x="3680460" y="137160"/>
          <a:ext cx="0" cy="830580"/>
        </a:xfrm>
        <a:prstGeom xmlns:a="http://schemas.openxmlformats.org/drawingml/2006/main" prst="straightConnector1">
          <a:avLst/>
        </a:prstGeom>
        <a:solidFill xmlns:a="http://schemas.openxmlformats.org/drawingml/2006/main">
          <a:srgbClr val="FFFFFF"/>
        </a:solidFill>
        <a:ln xmlns:a="http://schemas.openxmlformats.org/drawingml/2006/main" w="12700" cap="flat" cmpd="sng" algn="ctr">
          <a:solidFill>
            <a:srgbClr val="000000"/>
          </a:solidFill>
          <a:prstDash val="solid"/>
          <a:round/>
          <a:headEnd type="none" w="med" len="med"/>
          <a:tailEnd type="arrow"/>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0.7868</cdr:x>
      <cdr:y>0.19949</cdr:y>
    </cdr:from>
    <cdr:to>
      <cdr:x>0.7868</cdr:x>
      <cdr:y>0.35606</cdr:y>
    </cdr:to>
    <cdr:cxnSp macro="">
      <cdr:nvCxnSpPr>
        <cdr:cNvPr id="13" name="Gerade Verbindung mit Pfeil 12"/>
        <cdr:cNvCxnSpPr/>
      </cdr:nvCxnSpPr>
      <cdr:spPr bwMode="auto">
        <a:xfrm xmlns:a="http://schemas.openxmlformats.org/drawingml/2006/main">
          <a:off x="4358640" y="601980"/>
          <a:ext cx="0" cy="472440"/>
        </a:xfrm>
        <a:prstGeom xmlns:a="http://schemas.openxmlformats.org/drawingml/2006/main" prst="straightConnector1">
          <a:avLst/>
        </a:prstGeom>
        <a:solidFill xmlns:a="http://schemas.openxmlformats.org/drawingml/2006/main">
          <a:srgbClr val="FFFFFF"/>
        </a:solidFill>
        <a:ln xmlns:a="http://schemas.openxmlformats.org/drawingml/2006/main" w="12700" cap="flat" cmpd="sng" algn="ctr">
          <a:solidFill>
            <a:srgbClr val="000000"/>
          </a:solidFill>
          <a:prstDash val="solid"/>
          <a:round/>
          <a:headEnd type="none" w="med" len="med"/>
          <a:tailEnd type="arrow"/>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0.30674</cdr:x>
      <cdr:y>0.0101</cdr:y>
    </cdr:from>
    <cdr:to>
      <cdr:x>0.44567</cdr:x>
      <cdr:y>0.18434</cdr:y>
    </cdr:to>
    <cdr:sp macro="" textlink="">
      <cdr:nvSpPr>
        <cdr:cNvPr id="15" name="Textfeld 14"/>
        <cdr:cNvSpPr txBox="1"/>
      </cdr:nvSpPr>
      <cdr:spPr>
        <a:xfrm xmlns:a="http://schemas.openxmlformats.org/drawingml/2006/main">
          <a:off x="1699260" y="30480"/>
          <a:ext cx="769620" cy="5257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DE" sz="900"/>
            <a:t>Mexican Peso crisis</a:t>
          </a:r>
        </a:p>
      </cdr:txBody>
    </cdr:sp>
  </cdr:relSizeAnchor>
  <cdr:relSizeAnchor xmlns:cdr="http://schemas.openxmlformats.org/drawingml/2006/chartDrawing">
    <cdr:from>
      <cdr:x>0.16506</cdr:x>
      <cdr:y>0.28788</cdr:y>
    </cdr:from>
    <cdr:to>
      <cdr:x>0.24347</cdr:x>
      <cdr:y>0.37879</cdr:y>
    </cdr:to>
    <cdr:sp macro="" textlink="">
      <cdr:nvSpPr>
        <cdr:cNvPr id="17" name="Textfeld 16"/>
        <cdr:cNvSpPr txBox="1"/>
      </cdr:nvSpPr>
      <cdr:spPr>
        <a:xfrm xmlns:a="http://schemas.openxmlformats.org/drawingml/2006/main">
          <a:off x="914400" y="868680"/>
          <a:ext cx="434340" cy="2743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de-DE" sz="1100"/>
        </a:p>
      </cdr:txBody>
    </cdr:sp>
  </cdr:relSizeAnchor>
  <cdr:relSizeAnchor xmlns:cdr="http://schemas.openxmlformats.org/drawingml/2006/chartDrawing">
    <cdr:from>
      <cdr:x>0.16094</cdr:x>
      <cdr:y>0.27525</cdr:y>
    </cdr:from>
    <cdr:to>
      <cdr:x>0.24209</cdr:x>
      <cdr:y>0.41162</cdr:y>
    </cdr:to>
    <cdr:sp macro="" textlink="">
      <cdr:nvSpPr>
        <cdr:cNvPr id="18" name="Textfeld 17"/>
        <cdr:cNvSpPr txBox="1"/>
      </cdr:nvSpPr>
      <cdr:spPr>
        <a:xfrm xmlns:a="http://schemas.openxmlformats.org/drawingml/2006/main">
          <a:off x="891540" y="830580"/>
          <a:ext cx="449580" cy="4114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DE" sz="900"/>
            <a:t>Plano Real</a:t>
          </a:r>
        </a:p>
      </cdr:txBody>
    </cdr:sp>
  </cdr:relSizeAnchor>
  <cdr:relSizeAnchor xmlns:cdr="http://schemas.openxmlformats.org/drawingml/2006/chartDrawing">
    <cdr:from>
      <cdr:x>0.54608</cdr:x>
      <cdr:y>0.0404</cdr:y>
    </cdr:from>
    <cdr:to>
      <cdr:x>0.67675</cdr:x>
      <cdr:y>0.17677</cdr:y>
    </cdr:to>
    <cdr:sp macro="" textlink="">
      <cdr:nvSpPr>
        <cdr:cNvPr id="19" name="Textfeld 18"/>
        <cdr:cNvSpPr txBox="1"/>
      </cdr:nvSpPr>
      <cdr:spPr>
        <a:xfrm xmlns:a="http://schemas.openxmlformats.org/drawingml/2006/main">
          <a:off x="3025140" y="121920"/>
          <a:ext cx="723900" cy="4114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DE" sz="900"/>
            <a:t>Asian crisis</a:t>
          </a:r>
        </a:p>
      </cdr:txBody>
    </cdr:sp>
  </cdr:relSizeAnchor>
  <cdr:relSizeAnchor xmlns:cdr="http://schemas.openxmlformats.org/drawingml/2006/chartDrawing">
    <cdr:from>
      <cdr:x>0.70977</cdr:x>
      <cdr:y>0.10606</cdr:y>
    </cdr:from>
    <cdr:to>
      <cdr:x>0.85282</cdr:x>
      <cdr:y>0.17929</cdr:y>
    </cdr:to>
    <cdr:sp macro="" textlink="">
      <cdr:nvSpPr>
        <cdr:cNvPr id="20" name="Textfeld 19"/>
        <cdr:cNvSpPr txBox="1"/>
      </cdr:nvSpPr>
      <cdr:spPr>
        <a:xfrm xmlns:a="http://schemas.openxmlformats.org/drawingml/2006/main">
          <a:off x="3931920" y="320040"/>
          <a:ext cx="792480" cy="2209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DE" sz="900"/>
            <a:t>Russian</a:t>
          </a:r>
          <a:r>
            <a:rPr lang="de-DE" sz="900" baseline="0"/>
            <a:t> crisis</a:t>
          </a:r>
          <a:endParaRPr lang="de-DE" sz="900"/>
        </a:p>
      </cdr:txBody>
    </cdr:sp>
  </cdr:relSizeAnchor>
  <cdr:relSizeAnchor xmlns:cdr="http://schemas.openxmlformats.org/drawingml/2006/chartDrawing">
    <cdr:from>
      <cdr:x>0.84594</cdr:x>
      <cdr:y>0.26768</cdr:y>
    </cdr:from>
    <cdr:to>
      <cdr:x>0.84594</cdr:x>
      <cdr:y>0.38384</cdr:y>
    </cdr:to>
    <cdr:cxnSp macro="">
      <cdr:nvCxnSpPr>
        <cdr:cNvPr id="22" name="Gerade Verbindung mit Pfeil 21"/>
        <cdr:cNvCxnSpPr/>
      </cdr:nvCxnSpPr>
      <cdr:spPr bwMode="auto">
        <a:xfrm xmlns:a="http://schemas.openxmlformats.org/drawingml/2006/main">
          <a:off x="4686300" y="807720"/>
          <a:ext cx="0" cy="350520"/>
        </a:xfrm>
        <a:prstGeom xmlns:a="http://schemas.openxmlformats.org/drawingml/2006/main" prst="straightConnector1">
          <a:avLst/>
        </a:prstGeom>
        <a:solidFill xmlns:a="http://schemas.openxmlformats.org/drawingml/2006/main">
          <a:srgbClr val="FFFFFF"/>
        </a:solidFill>
        <a:ln xmlns:a="http://schemas.openxmlformats.org/drawingml/2006/main" w="12700" cap="flat" cmpd="sng" algn="ctr">
          <a:solidFill>
            <a:srgbClr val="000000"/>
          </a:solidFill>
          <a:prstDash val="solid"/>
          <a:round/>
          <a:headEnd type="none" w="med" len="med"/>
          <a:tailEnd type="arrow"/>
        </a:ln>
        <a:effectLst xmlns:a="http://schemas.openxmlformats.org/drawingml/2006/main"/>
        <a:extLst xmlns:a="http://schemas.openxmlformats.org/drawingml/2006/main">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0.78955</cdr:x>
      <cdr:y>0.21212</cdr:y>
    </cdr:from>
    <cdr:to>
      <cdr:x>0.91609</cdr:x>
      <cdr:y>0.43939</cdr:y>
    </cdr:to>
    <cdr:sp macro="" textlink="">
      <cdr:nvSpPr>
        <cdr:cNvPr id="24" name="Textfeld 23"/>
        <cdr:cNvSpPr txBox="1"/>
      </cdr:nvSpPr>
      <cdr:spPr>
        <a:xfrm xmlns:a="http://schemas.openxmlformats.org/drawingml/2006/main">
          <a:off x="4373880" y="640080"/>
          <a:ext cx="701040" cy="685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de-DE" sz="1100"/>
        </a:p>
      </cdr:txBody>
    </cdr:sp>
  </cdr:relSizeAnchor>
  <cdr:relSizeAnchor xmlns:cdr="http://schemas.openxmlformats.org/drawingml/2006/chartDrawing">
    <cdr:from>
      <cdr:x>0.81568</cdr:x>
      <cdr:y>0.18182</cdr:y>
    </cdr:from>
    <cdr:to>
      <cdr:x>0.89821</cdr:x>
      <cdr:y>0.30808</cdr:y>
    </cdr:to>
    <cdr:sp macro="" textlink="">
      <cdr:nvSpPr>
        <cdr:cNvPr id="25" name="Textfeld 24"/>
        <cdr:cNvSpPr txBox="1"/>
      </cdr:nvSpPr>
      <cdr:spPr>
        <a:xfrm xmlns:a="http://schemas.openxmlformats.org/drawingml/2006/main">
          <a:off x="4518660" y="548640"/>
          <a:ext cx="45720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DE" sz="900"/>
            <a:t>Crisis </a:t>
          </a:r>
          <a:br>
            <a:rPr lang="de-DE" sz="900"/>
          </a:br>
          <a:r>
            <a:rPr lang="de-DE" sz="900"/>
            <a:t>Brazil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79460-73E9-4169-A49D-CAF5CE6A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7433</Words>
  <Characters>46835</Characters>
  <Application>Microsoft Office Word</Application>
  <DocSecurity>4</DocSecurity>
  <Lines>390</Lines>
  <Paragraphs>108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López Pachón, Elena</cp:lastModifiedBy>
  <cp:revision>2</cp:revision>
  <cp:lastPrinted>2015-09-20T22:28:00Z</cp:lastPrinted>
  <dcterms:created xsi:type="dcterms:W3CDTF">2018-08-21T12:08:00Z</dcterms:created>
  <dcterms:modified xsi:type="dcterms:W3CDTF">2018-08-21T12:08:00Z</dcterms:modified>
</cp:coreProperties>
</file>